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063" w:rsidRPr="0017406A" w:rsidRDefault="00B34063" w:rsidP="00B34063">
      <w:pPr>
        <w:pStyle w:val="Body"/>
        <w:spacing w:line="360" w:lineRule="auto"/>
        <w:jc w:val="center"/>
        <w:rPr>
          <w:rFonts w:asciiTheme="majorEastAsia" w:eastAsiaTheme="majorEastAsia" w:hAnsiTheme="majorEastAsia" w:hint="default"/>
          <w:b/>
          <w:sz w:val="28"/>
        </w:rPr>
      </w:pPr>
      <w:r w:rsidRPr="0017406A">
        <w:rPr>
          <w:rFonts w:asciiTheme="majorEastAsia" w:eastAsiaTheme="majorEastAsia" w:hAnsiTheme="majorEastAsia"/>
          <w:b/>
          <w:sz w:val="28"/>
        </w:rPr>
        <w:t>试点</w:t>
      </w:r>
      <w:r>
        <w:rPr>
          <w:rFonts w:asciiTheme="majorEastAsia" w:eastAsiaTheme="majorEastAsia" w:hAnsiTheme="majorEastAsia"/>
          <w:b/>
          <w:sz w:val="28"/>
        </w:rPr>
        <w:t>三</w:t>
      </w:r>
      <w:r w:rsidRPr="0017406A">
        <w:rPr>
          <w:rFonts w:asciiTheme="majorEastAsia" w:eastAsiaTheme="majorEastAsia" w:hAnsiTheme="majorEastAsia"/>
          <w:b/>
          <w:sz w:val="28"/>
        </w:rPr>
        <w:t>：</w:t>
      </w:r>
      <w:r>
        <w:rPr>
          <w:rFonts w:asciiTheme="majorEastAsia" w:eastAsiaTheme="majorEastAsia" w:hAnsiTheme="majorEastAsia"/>
          <w:b/>
          <w:sz w:val="28"/>
        </w:rPr>
        <w:t>徐汇</w:t>
      </w:r>
      <w:r w:rsidRPr="0017406A">
        <w:rPr>
          <w:rFonts w:asciiTheme="majorEastAsia" w:eastAsiaTheme="majorEastAsia" w:hAnsiTheme="majorEastAsia"/>
          <w:b/>
          <w:sz w:val="28"/>
        </w:rPr>
        <w:t>区轨道交通3号线</w:t>
      </w:r>
      <w:r>
        <w:rPr>
          <w:rFonts w:asciiTheme="majorEastAsia" w:eastAsiaTheme="majorEastAsia" w:hAnsiTheme="majorEastAsia"/>
          <w:b/>
          <w:sz w:val="28"/>
        </w:rPr>
        <w:t>宜山路</w:t>
      </w:r>
      <w:r w:rsidRPr="0017406A">
        <w:rPr>
          <w:rFonts w:asciiTheme="majorEastAsia" w:eastAsiaTheme="majorEastAsia" w:hAnsiTheme="majorEastAsia"/>
          <w:b/>
          <w:sz w:val="28"/>
        </w:rPr>
        <w:t>站桥下空间</w:t>
      </w:r>
    </w:p>
    <w:p w:rsidR="00B34063" w:rsidRPr="0017406A" w:rsidRDefault="00B34063" w:rsidP="00B34063">
      <w:pPr>
        <w:pStyle w:val="Body"/>
        <w:spacing w:line="360" w:lineRule="auto"/>
        <w:jc w:val="center"/>
        <w:rPr>
          <w:rFonts w:asciiTheme="majorEastAsia" w:eastAsiaTheme="majorEastAsia" w:hAnsiTheme="majorEastAsia" w:cs="PingFang SC Medium" w:hint="default"/>
          <w:b/>
          <w:sz w:val="28"/>
        </w:rPr>
      </w:pPr>
      <w:r w:rsidRPr="0017406A">
        <w:rPr>
          <w:rFonts w:asciiTheme="majorEastAsia" w:eastAsiaTheme="majorEastAsia" w:hAnsiTheme="majorEastAsia"/>
          <w:b/>
          <w:sz w:val="28"/>
        </w:rPr>
        <w:t>设计任务书</w:t>
      </w:r>
    </w:p>
    <w:p w:rsidR="00B34063" w:rsidRDefault="00B34063" w:rsidP="00B34063">
      <w:pPr>
        <w:pStyle w:val="Body"/>
        <w:spacing w:line="360" w:lineRule="auto"/>
        <w:jc w:val="both"/>
        <w:rPr>
          <w:rFonts w:asciiTheme="majorEastAsia" w:eastAsiaTheme="majorEastAsia" w:hAnsiTheme="majorEastAsia"/>
          <w:b/>
          <w:sz w:val="24"/>
        </w:rPr>
      </w:pPr>
    </w:p>
    <w:p w:rsidR="00662371" w:rsidRPr="00B34063" w:rsidRDefault="00B34063" w:rsidP="00B34063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一、</w:t>
      </w:r>
      <w:r w:rsidR="002A60CD" w:rsidRPr="00B34063">
        <w:rPr>
          <w:rFonts w:asciiTheme="majorEastAsia" w:eastAsiaTheme="majorEastAsia" w:hAnsiTheme="majorEastAsia"/>
          <w:b/>
          <w:sz w:val="24"/>
        </w:rPr>
        <w:t>区位概况</w:t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t>同本次桥下空间的试点</w:t>
      </w:r>
      <w:proofErr w:type="gramStart"/>
      <w:r w:rsidRPr="00B34063">
        <w:rPr>
          <w:rFonts w:ascii="微软雅黑" w:eastAsia="微软雅黑" w:hAnsi="微软雅黑"/>
        </w:rPr>
        <w:t>一</w:t>
      </w:r>
      <w:proofErr w:type="gramEnd"/>
      <w:r w:rsidRPr="00B34063">
        <w:rPr>
          <w:rFonts w:ascii="微软雅黑" w:eastAsia="微软雅黑" w:hAnsi="微软雅黑"/>
        </w:rPr>
        <w:t>类似，宜</w:t>
      </w:r>
      <w:proofErr w:type="gramStart"/>
      <w:r w:rsidRPr="00B34063">
        <w:rPr>
          <w:rFonts w:ascii="微软雅黑" w:eastAsia="微软雅黑" w:hAnsi="微软雅黑"/>
        </w:rPr>
        <w:t>山路站既能</w:t>
      </w:r>
      <w:proofErr w:type="gramEnd"/>
      <w:r w:rsidRPr="00B34063">
        <w:rPr>
          <w:rFonts w:ascii="微软雅黑" w:eastAsia="微软雅黑" w:hAnsi="微软雅黑"/>
        </w:rPr>
        <w:t>乘坐高架轨道交通</w:t>
      </w:r>
      <w:r w:rsidRPr="00B34063">
        <w:rPr>
          <w:rFonts w:ascii="微软雅黑" w:eastAsia="微软雅黑" w:hAnsi="微软雅黑"/>
        </w:rPr>
        <w:t>3</w:t>
      </w:r>
      <w:r w:rsidRPr="00B34063">
        <w:rPr>
          <w:rFonts w:ascii="微软雅黑" w:eastAsia="微软雅黑" w:hAnsi="微软雅黑"/>
        </w:rPr>
        <w:t>号线，也能乘坐地下轨道交通</w:t>
      </w:r>
      <w:r w:rsidRPr="00B34063">
        <w:rPr>
          <w:rFonts w:ascii="微软雅黑" w:eastAsia="微软雅黑" w:hAnsi="微软雅黑"/>
        </w:rPr>
        <w:t>4</w:t>
      </w:r>
      <w:r w:rsidRPr="00B34063">
        <w:rPr>
          <w:rFonts w:ascii="微软雅黑" w:eastAsia="微软雅黑" w:hAnsi="微软雅黑"/>
        </w:rPr>
        <w:t>号线，属于</w:t>
      </w:r>
      <w:proofErr w:type="gramStart"/>
      <w:r w:rsidRPr="00B34063">
        <w:rPr>
          <w:rFonts w:ascii="微软雅黑" w:eastAsia="微软雅黑" w:hAnsi="微软雅黑"/>
        </w:rPr>
        <w:t>共站不同线</w:t>
      </w:r>
      <w:proofErr w:type="gramEnd"/>
      <w:r w:rsidRPr="00B34063">
        <w:rPr>
          <w:rFonts w:ascii="微软雅黑" w:eastAsia="微软雅黑" w:hAnsi="微软雅黑"/>
        </w:rPr>
        <w:t>。步行可换乘</w:t>
      </w:r>
      <w:r w:rsidRPr="00B34063">
        <w:rPr>
          <w:rFonts w:ascii="微软雅黑" w:eastAsia="微软雅黑" w:hAnsi="微软雅黑"/>
        </w:rPr>
        <w:t>9</w:t>
      </w:r>
      <w:r w:rsidRPr="00B34063">
        <w:rPr>
          <w:rFonts w:ascii="微软雅黑" w:eastAsia="微软雅黑" w:hAnsi="微软雅黑"/>
        </w:rPr>
        <w:t>号线，是徐汇区境内重要的换乘节点。</w:t>
      </w:r>
    </w:p>
    <w:p w:rsidR="00662371" w:rsidRPr="00B34063" w:rsidRDefault="001B659B" w:rsidP="001B659B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>
            <wp:extent cx="5220585" cy="261029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宜山路站区位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947" cy="261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71" w:rsidRDefault="002A60CD" w:rsidP="00B34063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  <w:color w:val="919191"/>
        </w:rPr>
      </w:pPr>
      <w:r>
        <w:rPr>
          <w:rFonts w:eastAsia="PingFang SC Light"/>
          <w:color w:val="919191"/>
        </w:rPr>
        <w:t>宜山路站区位图</w:t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t>宜山路聚集了大量建材家具企业，也是上海成规模的建材街之一，也是交通</w:t>
      </w:r>
      <w:proofErr w:type="gramStart"/>
      <w:r w:rsidRPr="00B34063">
        <w:rPr>
          <w:rFonts w:ascii="微软雅黑" w:eastAsia="微软雅黑" w:hAnsi="微软雅黑"/>
        </w:rPr>
        <w:t>枢纽型商圈</w:t>
      </w:r>
      <w:proofErr w:type="gramEnd"/>
      <w:r w:rsidRPr="00B34063">
        <w:rPr>
          <w:rFonts w:ascii="微软雅黑" w:eastAsia="微软雅黑" w:hAnsi="微软雅黑"/>
        </w:rPr>
        <w:t>。除建材市场外，周边地块内还夹杂着大量住宅与办公楼。宜山路</w:t>
      </w:r>
      <w:proofErr w:type="gramStart"/>
      <w:r w:rsidRPr="00B34063">
        <w:rPr>
          <w:rFonts w:ascii="微软雅黑" w:eastAsia="微软雅黑" w:hAnsi="微软雅黑"/>
        </w:rPr>
        <w:t>站因此</w:t>
      </w:r>
      <w:proofErr w:type="gramEnd"/>
      <w:r w:rsidRPr="00B34063">
        <w:rPr>
          <w:rFonts w:ascii="微软雅黑" w:eastAsia="微软雅黑" w:hAnsi="微软雅黑"/>
        </w:rPr>
        <w:t>承载着通勤、购物等交通需求，上下班期间与节假日客流高峰较为明显。</w:t>
      </w:r>
    </w:p>
    <w:p w:rsidR="00662371" w:rsidRPr="00B34063" w:rsidRDefault="001B659B" w:rsidP="001B659B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>
            <wp:extent cx="5295014" cy="2650254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宜山路站区位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852" cy="265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71" w:rsidRDefault="002A60CD" w:rsidP="00B34063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  <w:color w:val="919191"/>
        </w:rPr>
      </w:pPr>
      <w:r>
        <w:rPr>
          <w:rFonts w:eastAsia="PingFang SC Light"/>
          <w:color w:val="919191"/>
        </w:rPr>
        <w:t>周边主要公共交通线路</w:t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lastRenderedPageBreak/>
        <w:t>作为重要的交通节点，狭长的宜山路站下集中了多条公交车线路、汽车与非机动车停车区域，也是多个公交站的起始站；因为承担着</w:t>
      </w:r>
      <w:r w:rsidRPr="00B34063">
        <w:rPr>
          <w:rFonts w:ascii="微软雅黑" w:eastAsia="微软雅黑" w:hAnsi="微软雅黑"/>
        </w:rPr>
        <w:t>3</w:t>
      </w:r>
      <w:r w:rsidRPr="00B34063">
        <w:rPr>
          <w:rFonts w:ascii="微软雅黑" w:eastAsia="微软雅黑" w:hAnsi="微软雅黑"/>
        </w:rPr>
        <w:t>条线路的换乘，步行区域内设有临时围栏作为路线引导；站点周边有</w:t>
      </w:r>
      <w:r w:rsidRPr="00B34063">
        <w:rPr>
          <w:rFonts w:ascii="微软雅黑" w:eastAsia="微软雅黑" w:hAnsi="微软雅黑"/>
        </w:rPr>
        <w:t>地铁出入口、地铁通风井，同时散布着多个小型构筑物。总体来说，内容混杂无序，步行体验不佳。</w:t>
      </w:r>
    </w:p>
    <w:p w:rsidR="00662371" w:rsidRPr="00B34063" w:rsidRDefault="00662371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:rsidR="00662371" w:rsidRPr="00B34063" w:rsidRDefault="00B34063" w:rsidP="00B34063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二、</w:t>
      </w:r>
      <w:r w:rsidR="002A60CD" w:rsidRPr="00B34063">
        <w:rPr>
          <w:rFonts w:asciiTheme="majorEastAsia" w:eastAsiaTheme="majorEastAsia" w:hAnsiTheme="majorEastAsia"/>
          <w:b/>
          <w:sz w:val="24"/>
        </w:rPr>
        <w:t>基地范围</w:t>
      </w:r>
    </w:p>
    <w:p w:rsidR="00662371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/>
        </w:rPr>
      </w:pPr>
      <w:r w:rsidRPr="00B34063">
        <w:rPr>
          <w:rFonts w:ascii="微软雅黑" w:eastAsia="微软雅黑" w:hAnsi="微软雅黑"/>
        </w:rPr>
        <w:t>宜山路站的整体研究范围始于徐虹中路、徐虹北路，沿凯旋路一直延伸到宜山路及靠近宜山路的广场绿地，总长度约</w:t>
      </w:r>
      <w:r w:rsidRPr="00B34063">
        <w:rPr>
          <w:rFonts w:ascii="微软雅黑" w:eastAsia="微软雅黑" w:hAnsi="微软雅黑"/>
        </w:rPr>
        <w:t>400</w:t>
      </w:r>
      <w:r w:rsidRPr="00B34063">
        <w:rPr>
          <w:rFonts w:ascii="微软雅黑" w:eastAsia="微软雅黑" w:hAnsi="微软雅黑"/>
        </w:rPr>
        <w:t>米。站点南北两端的广场空间为重点设计范围，其中南端延伸</w:t>
      </w:r>
      <w:proofErr w:type="gramStart"/>
      <w:r w:rsidRPr="00B34063">
        <w:rPr>
          <w:rFonts w:ascii="微软雅黑" w:eastAsia="微软雅黑" w:hAnsi="微软雅黑"/>
        </w:rPr>
        <w:t>到过宜山路</w:t>
      </w:r>
      <w:proofErr w:type="gramEnd"/>
      <w:r w:rsidRPr="00B34063">
        <w:rPr>
          <w:rFonts w:ascii="微软雅黑" w:eastAsia="微软雅黑" w:hAnsi="微软雅黑"/>
        </w:rPr>
        <w:t>的带状广场，两个重点设计范围均为</w:t>
      </w:r>
      <w:r w:rsidRPr="00B34063">
        <w:rPr>
          <w:rFonts w:ascii="微软雅黑" w:eastAsia="微软雅黑" w:hAnsi="微软雅黑"/>
        </w:rPr>
        <w:t>20</w:t>
      </w:r>
      <w:r w:rsidRPr="00B34063">
        <w:rPr>
          <w:rFonts w:ascii="微软雅黑" w:eastAsia="微软雅黑" w:hAnsi="微软雅黑"/>
        </w:rPr>
        <w:t>米左右宽，局部宽度达到</w:t>
      </w:r>
      <w:r w:rsidRPr="00B34063">
        <w:rPr>
          <w:rFonts w:ascii="微软雅黑" w:eastAsia="微软雅黑" w:hAnsi="微软雅黑"/>
        </w:rPr>
        <w:t>40</w:t>
      </w:r>
      <w:r w:rsidRPr="00B34063">
        <w:rPr>
          <w:rFonts w:ascii="微软雅黑" w:eastAsia="微软雅黑" w:hAnsi="微软雅黑"/>
        </w:rPr>
        <w:t>米，北端广场长度约</w:t>
      </w:r>
      <w:r w:rsidRPr="00B34063">
        <w:rPr>
          <w:rFonts w:ascii="微软雅黑" w:eastAsia="微软雅黑" w:hAnsi="微软雅黑"/>
        </w:rPr>
        <w:t>150</w:t>
      </w:r>
      <w:r w:rsidRPr="00B34063">
        <w:rPr>
          <w:rFonts w:ascii="微软雅黑" w:eastAsia="微软雅黑" w:hAnsi="微软雅黑"/>
        </w:rPr>
        <w:t>米，南端</w:t>
      </w:r>
      <w:r w:rsidRPr="00B34063">
        <w:rPr>
          <w:rFonts w:ascii="微软雅黑" w:eastAsia="微软雅黑" w:hAnsi="微软雅黑"/>
        </w:rPr>
        <w:t>120</w:t>
      </w:r>
      <w:r w:rsidRPr="00B34063">
        <w:rPr>
          <w:rFonts w:ascii="微软雅黑" w:eastAsia="微软雅黑" w:hAnsi="微软雅黑"/>
        </w:rPr>
        <w:t>米。</w:t>
      </w:r>
    </w:p>
    <w:p w:rsidR="001B659B" w:rsidRPr="00B34063" w:rsidRDefault="001B659B" w:rsidP="001B659B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>
            <wp:extent cx="3710763" cy="5248893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宜山路站基地平面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968" cy="525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71" w:rsidRDefault="002A60CD" w:rsidP="001B659B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  <w:color w:val="919191"/>
        </w:rPr>
      </w:pPr>
      <w:r>
        <w:rPr>
          <w:rFonts w:eastAsia="PingFang SC Light"/>
          <w:color w:val="919191"/>
        </w:rPr>
        <w:t>宜山路站研究与设计范围</w:t>
      </w:r>
    </w:p>
    <w:p w:rsidR="00662371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/>
        </w:rPr>
      </w:pPr>
      <w:r w:rsidRPr="00B34063">
        <w:rPr>
          <w:rFonts w:ascii="微软雅黑" w:eastAsia="微软雅黑" w:hAnsi="微软雅黑"/>
        </w:rPr>
        <w:lastRenderedPageBreak/>
        <w:t>轻轨站下空间净高</w:t>
      </w:r>
      <w:r w:rsidRPr="00B34063">
        <w:rPr>
          <w:rFonts w:ascii="微软雅黑" w:eastAsia="微软雅黑" w:hAnsi="微软雅黑"/>
        </w:rPr>
        <w:t>4.2</w:t>
      </w:r>
      <w:r w:rsidRPr="00B34063">
        <w:rPr>
          <w:rFonts w:ascii="微软雅黑" w:eastAsia="微软雅黑" w:hAnsi="微软雅黑"/>
        </w:rPr>
        <w:t>米。</w:t>
      </w:r>
    </w:p>
    <w:p w:rsidR="001B659B" w:rsidRPr="00B34063" w:rsidRDefault="001B659B" w:rsidP="001B659B">
      <w:pPr>
        <w:pStyle w:val="Body"/>
        <w:spacing w:line="360" w:lineRule="auto"/>
        <w:jc w:val="both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>
            <wp:extent cx="6120130" cy="225869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宜山路站基地剖面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71" w:rsidRDefault="002A60CD" w:rsidP="001B659B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  <w:color w:val="919191"/>
        </w:rPr>
      </w:pPr>
      <w:r>
        <w:rPr>
          <w:rFonts w:eastAsia="PingFang SC Light"/>
          <w:color w:val="919191"/>
        </w:rPr>
        <w:t>站点典型剖面</w:t>
      </w:r>
    </w:p>
    <w:p w:rsidR="00662371" w:rsidRDefault="00662371">
      <w:pPr>
        <w:pStyle w:val="Body"/>
        <w:spacing w:line="360" w:lineRule="auto"/>
        <w:rPr>
          <w:rFonts w:ascii="PingFang SC Light" w:eastAsia="PingFang SC Light" w:hAnsi="PingFang SC Light" w:cs="PingFang SC Light" w:hint="default"/>
          <w:color w:val="919191"/>
        </w:rPr>
      </w:pPr>
    </w:p>
    <w:p w:rsidR="00662371" w:rsidRPr="00B34063" w:rsidRDefault="00B34063" w:rsidP="00B34063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三、</w:t>
      </w:r>
      <w:r w:rsidR="002A60CD" w:rsidRPr="00B34063">
        <w:rPr>
          <w:rFonts w:asciiTheme="majorEastAsia" w:eastAsiaTheme="majorEastAsia" w:hAnsiTheme="majorEastAsia"/>
          <w:b/>
          <w:sz w:val="24"/>
        </w:rPr>
        <w:t>基地现状</w:t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t>视角</w:t>
      </w:r>
      <w:r w:rsidRPr="00B34063">
        <w:rPr>
          <w:rFonts w:ascii="微软雅黑" w:eastAsia="微软雅黑" w:hAnsi="微软雅黑"/>
        </w:rPr>
        <w:t xml:space="preserve">1: </w:t>
      </w:r>
      <w:r w:rsidRPr="00B34063">
        <w:rPr>
          <w:rFonts w:ascii="微软雅黑" w:eastAsia="微软雅黑" w:hAnsi="微软雅黑"/>
        </w:rPr>
        <w:t>宜山路另一侧的</w:t>
      </w:r>
      <w:proofErr w:type="gramStart"/>
      <w:r w:rsidRPr="00B34063">
        <w:rPr>
          <w:rFonts w:ascii="微软雅黑" w:eastAsia="微软雅黑" w:hAnsi="微软雅黑"/>
        </w:rPr>
        <w:t>凯</w:t>
      </w:r>
      <w:proofErr w:type="gramEnd"/>
      <w:r w:rsidRPr="00B34063">
        <w:rPr>
          <w:rFonts w:ascii="微软雅黑" w:eastAsia="微软雅黑" w:hAnsi="微软雅黑"/>
        </w:rPr>
        <w:t>进路和凯旋路之间有一条狭长的地块，端头是广场绿地，也是本</w:t>
      </w:r>
      <w:r w:rsidRPr="00B34063">
        <w:rPr>
          <w:rFonts w:ascii="微软雅黑" w:eastAsia="微软雅黑" w:hAnsi="微软雅黑"/>
        </w:rPr>
        <w:t>次南广场设计中的一部分。部分人流在穿越宜山路后进入小广场继续过街，被广告包围的部分实际是地铁通风井，但是目前的设置阻碍了人流的顺畅通过。</w:t>
      </w:r>
    </w:p>
    <w:p w:rsidR="00662371" w:rsidRDefault="001B659B" w:rsidP="001B659B">
      <w:pPr>
        <w:pStyle w:val="Body"/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>
            <wp:extent cx="5411972" cy="360779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南广场绿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801" cy="360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84" w:rsidRPr="00B34063" w:rsidRDefault="00871884" w:rsidP="001B659B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bookmarkStart w:id="0" w:name="_GoBack"/>
      <w:bookmarkEnd w:id="0"/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lastRenderedPageBreak/>
        <w:t>视角</w:t>
      </w:r>
      <w:r w:rsidRPr="00B34063">
        <w:rPr>
          <w:rFonts w:ascii="微软雅黑" w:eastAsia="微软雅黑" w:hAnsi="微软雅黑"/>
        </w:rPr>
        <w:t xml:space="preserve">2: </w:t>
      </w:r>
      <w:r w:rsidRPr="00B34063">
        <w:rPr>
          <w:rFonts w:ascii="微软雅黑" w:eastAsia="微软雅黑" w:hAnsi="微软雅黑"/>
        </w:rPr>
        <w:t>宜</w:t>
      </w:r>
      <w:proofErr w:type="gramStart"/>
      <w:r w:rsidRPr="00B34063">
        <w:rPr>
          <w:rFonts w:ascii="微软雅黑" w:eastAsia="微软雅黑" w:hAnsi="微软雅黑"/>
        </w:rPr>
        <w:t>山路站沿凯旋</w:t>
      </w:r>
      <w:proofErr w:type="gramEnd"/>
      <w:r w:rsidRPr="00B34063">
        <w:rPr>
          <w:rFonts w:ascii="微软雅黑" w:eastAsia="微软雅黑" w:hAnsi="微软雅黑"/>
        </w:rPr>
        <w:t>路设有连续商铺，但是人行道上的相当面积被非机动车占用，加之</w:t>
      </w:r>
      <w:r w:rsidRPr="00B34063">
        <w:rPr>
          <w:rFonts w:ascii="微软雅黑" w:eastAsia="微软雅黑" w:hAnsi="微软雅黑"/>
        </w:rPr>
        <w:t>4</w:t>
      </w:r>
      <w:r w:rsidRPr="00B34063">
        <w:rPr>
          <w:rFonts w:ascii="微软雅黑" w:eastAsia="微软雅黑" w:hAnsi="微软雅黑"/>
        </w:rPr>
        <w:t>号线的出入口也设在该区域内，导致步行体验不佳，环境杂乱。</w:t>
      </w:r>
    </w:p>
    <w:p w:rsidR="00662371" w:rsidRDefault="001B659B" w:rsidP="001B659B">
      <w:pPr>
        <w:pStyle w:val="Body"/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>
            <wp:extent cx="5443870" cy="3629059"/>
            <wp:effectExtent l="0" t="0" r="444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站点南侧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036" cy="36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59B" w:rsidRPr="00B34063" w:rsidRDefault="001B659B" w:rsidP="001B659B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t>视角</w:t>
      </w:r>
      <w:r w:rsidRPr="00B34063">
        <w:rPr>
          <w:rFonts w:ascii="微软雅黑" w:eastAsia="微软雅黑" w:hAnsi="微软雅黑"/>
        </w:rPr>
        <w:t xml:space="preserve">3: </w:t>
      </w:r>
      <w:r w:rsidRPr="00B34063">
        <w:rPr>
          <w:rFonts w:ascii="微软雅黑" w:eastAsia="微软雅黑" w:hAnsi="微软雅黑"/>
        </w:rPr>
        <w:t>目前宜山路站的西北角为尽端空间，导</w:t>
      </w:r>
      <w:r w:rsidRPr="00B34063">
        <w:rPr>
          <w:rFonts w:ascii="微软雅黑" w:eastAsia="微软雅黑" w:hAnsi="微软雅黑"/>
        </w:rPr>
        <w:t>致站下的道路被作为停车场使用，对城市而言也是消极的界面。</w:t>
      </w:r>
    </w:p>
    <w:p w:rsidR="00662371" w:rsidRPr="00B34063" w:rsidRDefault="001B659B" w:rsidP="001B659B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>
            <wp:extent cx="5443870" cy="3629058"/>
            <wp:effectExtent l="0" t="0" r="444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站点西北侧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971" cy="362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lastRenderedPageBreak/>
        <w:t>视角</w:t>
      </w:r>
      <w:r w:rsidRPr="00B34063">
        <w:rPr>
          <w:rFonts w:ascii="微软雅黑" w:eastAsia="微软雅黑" w:hAnsi="微软雅黑"/>
        </w:rPr>
        <w:t xml:space="preserve">4: </w:t>
      </w:r>
      <w:r w:rsidRPr="00B34063">
        <w:rPr>
          <w:rFonts w:ascii="微软雅黑" w:eastAsia="微软雅黑" w:hAnsi="微软雅黑"/>
        </w:rPr>
        <w:t>轨道下方的空间被各种泵房、通风井、岗亭等设施所占用，加上西面连续的停车场，未能被有效地整合、利用起来。</w:t>
      </w:r>
    </w:p>
    <w:p w:rsidR="00662371" w:rsidRPr="00B34063" w:rsidRDefault="001B659B" w:rsidP="001B659B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>
            <wp:extent cx="5422605" cy="3614321"/>
            <wp:effectExtent l="0" t="0" r="698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站点西北侧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76" cy="361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59B" w:rsidRDefault="001B659B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/>
        </w:rPr>
      </w:pP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t>视角</w:t>
      </w:r>
      <w:r w:rsidRPr="00B34063">
        <w:rPr>
          <w:rFonts w:ascii="微软雅黑" w:eastAsia="微软雅黑" w:hAnsi="微软雅黑"/>
        </w:rPr>
        <w:t xml:space="preserve">5:  </w:t>
      </w:r>
      <w:r w:rsidRPr="00B34063">
        <w:rPr>
          <w:rFonts w:ascii="微软雅黑" w:eastAsia="微软雅黑" w:hAnsi="微软雅黑"/>
        </w:rPr>
        <w:t>凯旋路一侧的轨道下方空间是公交车起始站，连带着非机动车停放点、各种市政设施，且地面有高差。</w:t>
      </w:r>
    </w:p>
    <w:p w:rsidR="00662371" w:rsidRPr="00B34063" w:rsidRDefault="001B659B" w:rsidP="001B659B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>
            <wp:extent cx="5465135" cy="364323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站点东北侧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367" cy="364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lastRenderedPageBreak/>
        <w:t>视角</w:t>
      </w:r>
      <w:r w:rsidRPr="00B34063">
        <w:rPr>
          <w:rFonts w:ascii="微软雅黑" w:eastAsia="微软雅黑" w:hAnsi="微软雅黑"/>
        </w:rPr>
        <w:t xml:space="preserve">6: </w:t>
      </w:r>
      <w:r w:rsidRPr="00B34063">
        <w:rPr>
          <w:rFonts w:ascii="微软雅黑" w:eastAsia="微软雅黑" w:hAnsi="微软雅黑"/>
        </w:rPr>
        <w:t>宜山路站北面的轨道空间下方是条状的绿地，但是没有得到很好的维护，也隔离了东西两侧，无法直接穿越。</w:t>
      </w:r>
    </w:p>
    <w:p w:rsidR="00662371" w:rsidRDefault="001B659B" w:rsidP="001B659B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/>
        </w:rPr>
      </w:pPr>
      <w:r>
        <w:rPr>
          <w:rFonts w:ascii="PingFang SC Light" w:eastAsia="PingFang SC Light" w:hAnsi="PingFang SC Light" w:cs="PingFang SC Light" w:hint="default"/>
          <w:noProof/>
          <w:lang w:val="en-US"/>
        </w:rPr>
        <w:drawing>
          <wp:inline distT="0" distB="0" distL="0" distR="0">
            <wp:extent cx="5433237" cy="36219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站点北广场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394" cy="362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59B" w:rsidRDefault="001B659B" w:rsidP="001B659B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</w:p>
    <w:p w:rsidR="00662371" w:rsidRPr="00B34063" w:rsidRDefault="00B34063" w:rsidP="00B34063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四、</w:t>
      </w:r>
      <w:r w:rsidR="002A60CD" w:rsidRPr="00B34063">
        <w:rPr>
          <w:rFonts w:asciiTheme="majorEastAsia" w:eastAsiaTheme="majorEastAsia" w:hAnsiTheme="majorEastAsia"/>
          <w:b/>
          <w:sz w:val="24"/>
        </w:rPr>
        <w:t>设计原则</w:t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t>本次试点方案征集需把握以下几个设计原则：</w:t>
      </w:r>
    </w:p>
    <w:p w:rsidR="00662371" w:rsidRPr="001B659B" w:rsidRDefault="00B34063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1B659B">
        <w:rPr>
          <w:rFonts w:ascii="微软雅黑" w:eastAsia="微软雅黑" w:hAnsi="微软雅黑"/>
          <w:b/>
        </w:rPr>
        <w:t>1</w:t>
      </w:r>
      <w:r w:rsidR="002A60CD" w:rsidRPr="001B659B">
        <w:rPr>
          <w:rFonts w:ascii="微软雅黑" w:eastAsia="微软雅黑" w:hAnsi="微软雅黑"/>
          <w:b/>
        </w:rPr>
        <w:t>、经济实用：</w:t>
      </w:r>
    </w:p>
    <w:p w:rsidR="00662371" w:rsidRDefault="008D6000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/>
        </w:rPr>
      </w:pPr>
      <w:r w:rsidRPr="008D6000">
        <w:rPr>
          <w:rFonts w:ascii="微软雅黑" w:eastAsia="微软雅黑" w:hAnsi="微软雅黑"/>
        </w:rPr>
        <w:t>征集方案要求操作性强、功能适宜，并对建设经费进行合理控制。如果要对道路红线进行调整，必须提供理由和合理策略；在不影响高架结构构件的情况下，可通过拆除、改建或加建既有构筑物的方式，适当增加必要的公益性便民服务设施，其他建筑不建议新建。</w:t>
      </w:r>
    </w:p>
    <w:p w:rsidR="008D6000" w:rsidRPr="008D6000" w:rsidRDefault="008D6000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/>
          <w:b/>
        </w:rPr>
      </w:pPr>
      <w:r w:rsidRPr="008D6000">
        <w:rPr>
          <w:rFonts w:ascii="微软雅黑" w:eastAsia="微软雅黑" w:hAnsi="微软雅黑"/>
          <w:b/>
        </w:rPr>
        <w:t xml:space="preserve">2、安全便捷： </w:t>
      </w:r>
    </w:p>
    <w:p w:rsidR="008D6000" w:rsidRPr="008D6000" w:rsidRDefault="008D6000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8D6000">
        <w:rPr>
          <w:rFonts w:ascii="微软雅黑" w:eastAsia="微软雅黑" w:hAnsi="微软雅黑"/>
        </w:rPr>
        <w:t>桥下空间设计需特别注意安全合理，关注场所活动的安全性、对城市交通的影响、桥体结构的稳固性等方面；加强交通组织便捷顺畅，对慢行方式更为友好，引导系统清晰明了。</w:t>
      </w:r>
    </w:p>
    <w:p w:rsidR="00662371" w:rsidRPr="001B659B" w:rsidRDefault="008D6000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>
        <w:rPr>
          <w:rFonts w:ascii="微软雅黑" w:eastAsia="微软雅黑" w:hAnsi="微软雅黑"/>
          <w:b/>
        </w:rPr>
        <w:t>3</w:t>
      </w:r>
      <w:r w:rsidR="002A60CD" w:rsidRPr="001B659B">
        <w:rPr>
          <w:rFonts w:ascii="微软雅黑" w:eastAsia="微软雅黑" w:hAnsi="微软雅黑"/>
          <w:b/>
        </w:rPr>
        <w:t>、环境友好：</w:t>
      </w:r>
    </w:p>
    <w:p w:rsidR="00662371" w:rsidRPr="00B34063" w:rsidRDefault="008D6000" w:rsidP="008D6000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8D6000">
        <w:rPr>
          <w:rFonts w:ascii="微软雅黑" w:eastAsia="微软雅黑" w:hAnsi="微软雅黑"/>
        </w:rPr>
        <w:t>征集方案中鼓励运用绿化、景观、照明、标识、铺装、城市家具等</w:t>
      </w:r>
      <w:proofErr w:type="gramStart"/>
      <w:r w:rsidRPr="008D6000">
        <w:rPr>
          <w:rFonts w:ascii="微软雅黑" w:eastAsia="微软雅黑" w:hAnsi="微软雅黑"/>
        </w:rPr>
        <w:t>轻质化</w:t>
      </w:r>
      <w:proofErr w:type="gramEnd"/>
      <w:r w:rsidRPr="008D6000">
        <w:rPr>
          <w:rFonts w:ascii="微软雅黑" w:eastAsia="微软雅黑" w:hAnsi="微软雅黑"/>
        </w:rPr>
        <w:t>的手段点亮“灰色空间”，带来更好的人居环境。</w:t>
      </w:r>
    </w:p>
    <w:p w:rsidR="00662371" w:rsidRPr="001B659B" w:rsidRDefault="008D6000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>
        <w:rPr>
          <w:rFonts w:ascii="微软雅黑" w:eastAsia="微软雅黑" w:hAnsi="微软雅黑"/>
          <w:b/>
        </w:rPr>
        <w:lastRenderedPageBreak/>
        <w:t>4</w:t>
      </w:r>
      <w:r w:rsidR="002A60CD" w:rsidRPr="001B659B">
        <w:rPr>
          <w:rFonts w:ascii="微软雅黑" w:eastAsia="微软雅黑" w:hAnsi="微软雅黑"/>
          <w:b/>
        </w:rPr>
        <w:t>、激发活力：</w:t>
      </w:r>
    </w:p>
    <w:p w:rsidR="00662371" w:rsidRPr="00B34063" w:rsidRDefault="008D6000" w:rsidP="008D6000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8D6000">
        <w:rPr>
          <w:rFonts w:ascii="微软雅黑" w:eastAsia="微软雅黑" w:hAnsi="微软雅黑"/>
        </w:rPr>
        <w:t>征集方案期望通过公共艺术设计、视觉设计等方式，加强与地区文化、居民生活相呼应。</w:t>
      </w:r>
    </w:p>
    <w:p w:rsidR="00662371" w:rsidRDefault="00662371">
      <w:pPr>
        <w:pStyle w:val="Default"/>
        <w:spacing w:line="360" w:lineRule="auto"/>
        <w:jc w:val="both"/>
        <w:rPr>
          <w:rFonts w:ascii="PingFang SC Light" w:eastAsia="PingFang SC Light" w:hAnsi="PingFang SC Light" w:cs="PingFang SC Light" w:hint="default"/>
          <w:shd w:val="clear" w:color="auto" w:fill="FFFFFF"/>
        </w:rPr>
      </w:pPr>
    </w:p>
    <w:p w:rsidR="00662371" w:rsidRPr="00B34063" w:rsidRDefault="00B34063" w:rsidP="00B34063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五、</w:t>
      </w:r>
      <w:r w:rsidR="002A60CD" w:rsidRPr="00B34063">
        <w:rPr>
          <w:rFonts w:asciiTheme="majorEastAsia" w:eastAsiaTheme="majorEastAsia" w:hAnsiTheme="majorEastAsia"/>
          <w:b/>
          <w:sz w:val="24"/>
        </w:rPr>
        <w:t>设计内容</w:t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t>本次试点包含两个范围的设计任务：</w:t>
      </w:r>
    </w:p>
    <w:p w:rsidR="00662371" w:rsidRPr="001B659B" w:rsidRDefault="00B34063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1B659B">
        <w:rPr>
          <w:rFonts w:ascii="微软雅黑" w:eastAsia="微软雅黑" w:hAnsi="微软雅黑"/>
          <w:b/>
        </w:rPr>
        <w:t>1</w:t>
      </w:r>
      <w:r w:rsidR="002A60CD" w:rsidRPr="001B659B">
        <w:rPr>
          <w:rFonts w:ascii="微软雅黑" w:eastAsia="微软雅黑" w:hAnsi="微软雅黑"/>
          <w:b/>
        </w:rPr>
        <w:t>、整体研究范围任务</w:t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t>轨道交通</w:t>
      </w:r>
      <w:r w:rsidRPr="00B34063">
        <w:rPr>
          <w:rFonts w:ascii="微软雅黑" w:eastAsia="微软雅黑" w:hAnsi="微软雅黑"/>
        </w:rPr>
        <w:t>3</w:t>
      </w:r>
      <w:r w:rsidRPr="00B34063">
        <w:rPr>
          <w:rFonts w:ascii="微软雅黑" w:eastAsia="微软雅黑" w:hAnsi="微软雅黑"/>
        </w:rPr>
        <w:t>号线北起徐虹中路、徐虹北路，南至宜山路另一侧的绿地广场，总长度约</w:t>
      </w:r>
      <w:r w:rsidRPr="00B34063">
        <w:rPr>
          <w:rFonts w:ascii="微软雅黑" w:eastAsia="微软雅黑" w:hAnsi="微软雅黑"/>
        </w:rPr>
        <w:t>400</w:t>
      </w:r>
      <w:r w:rsidRPr="00B34063">
        <w:rPr>
          <w:rFonts w:ascii="微软雅黑" w:eastAsia="微软雅黑" w:hAnsi="微软雅黑"/>
        </w:rPr>
        <w:t>米。</w:t>
      </w:r>
    </w:p>
    <w:p w:rsidR="00A630AE" w:rsidRPr="00A630AE" w:rsidRDefault="00A630AE" w:rsidP="00A630AE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/>
        </w:rPr>
      </w:pPr>
      <w:r w:rsidRPr="00A630AE">
        <w:rPr>
          <w:rFonts w:ascii="微软雅黑" w:eastAsia="微软雅黑" w:hAnsi="微软雅黑"/>
        </w:rPr>
        <w:t>结合试点周边业态、人群、空间特色等，对该范围内的高架下空间的发展提出指导性建议，为建设部门拓展思路、有序推进高架下空间的持续更新利用，将高架下空间提升作为弥合不同地块功能、服务不同使用人群的有效手段。其中重点关注对现有功能的整合、对空间的合理划分利用和对人流的引导。</w:t>
      </w:r>
    </w:p>
    <w:p w:rsidR="00A630AE" w:rsidRPr="00A630AE" w:rsidRDefault="00A630AE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A630AE">
        <w:rPr>
          <w:rFonts w:ascii="微软雅黑" w:eastAsia="微软雅黑" w:hAnsi="微软雅黑"/>
        </w:rPr>
        <w:t>研究内容包括但不限于全线功能布局、空间使用方式、与周边环境衔接关系、绿化布局、交通流线组织、配套服务设施布局等。</w:t>
      </w:r>
    </w:p>
    <w:p w:rsidR="00662371" w:rsidRPr="00B34063" w:rsidRDefault="00662371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:rsidR="00662371" w:rsidRPr="001B659B" w:rsidRDefault="00B34063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1B659B">
        <w:rPr>
          <w:rFonts w:ascii="微软雅黑" w:eastAsia="微软雅黑" w:hAnsi="微软雅黑"/>
          <w:b/>
        </w:rPr>
        <w:t>2</w:t>
      </w:r>
      <w:r w:rsidR="002A60CD" w:rsidRPr="001B659B">
        <w:rPr>
          <w:rFonts w:ascii="微软雅黑" w:eastAsia="微软雅黑" w:hAnsi="微软雅黑"/>
          <w:b/>
        </w:rPr>
        <w:t>、重点设计范围任务</w:t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t>宜山路站南广场及邻近的桥下空间，长度约</w:t>
      </w:r>
      <w:r w:rsidRPr="00B34063">
        <w:rPr>
          <w:rFonts w:ascii="微软雅黑" w:eastAsia="微软雅黑" w:hAnsi="微软雅黑"/>
        </w:rPr>
        <w:t>120</w:t>
      </w:r>
      <w:r w:rsidRPr="00B34063">
        <w:rPr>
          <w:rFonts w:ascii="微软雅黑" w:eastAsia="微软雅黑" w:hAnsi="微软雅黑"/>
        </w:rPr>
        <w:t>米，宽度约</w:t>
      </w:r>
      <w:r w:rsidRPr="00B34063">
        <w:rPr>
          <w:rFonts w:ascii="微软雅黑" w:eastAsia="微软雅黑" w:hAnsi="微软雅黑"/>
        </w:rPr>
        <w:t>20</w:t>
      </w:r>
      <w:r w:rsidRPr="00B34063">
        <w:rPr>
          <w:rFonts w:ascii="微软雅黑" w:eastAsia="微软雅黑" w:hAnsi="微软雅黑"/>
        </w:rPr>
        <w:t>米，最宽处</w:t>
      </w:r>
      <w:r w:rsidRPr="00B34063">
        <w:rPr>
          <w:rFonts w:ascii="微软雅黑" w:eastAsia="微软雅黑" w:hAnsi="微软雅黑"/>
        </w:rPr>
        <w:t>40</w:t>
      </w:r>
      <w:r w:rsidRPr="00B34063">
        <w:rPr>
          <w:rFonts w:ascii="微软雅黑" w:eastAsia="微软雅黑" w:hAnsi="微软雅黑"/>
        </w:rPr>
        <w:t>米。</w:t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t>宜山路站北广场及桥下空间，长度约</w:t>
      </w:r>
      <w:r w:rsidRPr="00B34063">
        <w:rPr>
          <w:rFonts w:ascii="微软雅黑" w:eastAsia="微软雅黑" w:hAnsi="微软雅黑"/>
        </w:rPr>
        <w:t>1</w:t>
      </w:r>
      <w:r w:rsidRPr="00B34063">
        <w:rPr>
          <w:rFonts w:ascii="微软雅黑" w:eastAsia="微软雅黑" w:hAnsi="微软雅黑"/>
        </w:rPr>
        <w:t>50</w:t>
      </w:r>
      <w:r w:rsidRPr="00B34063">
        <w:rPr>
          <w:rFonts w:ascii="微软雅黑" w:eastAsia="微软雅黑" w:hAnsi="微软雅黑"/>
        </w:rPr>
        <w:t>米，宽度约</w:t>
      </w:r>
      <w:r w:rsidRPr="00B34063">
        <w:rPr>
          <w:rFonts w:ascii="微软雅黑" w:eastAsia="微软雅黑" w:hAnsi="微软雅黑"/>
        </w:rPr>
        <w:t>20</w:t>
      </w:r>
      <w:r w:rsidRPr="00B34063">
        <w:rPr>
          <w:rFonts w:ascii="微软雅黑" w:eastAsia="微软雅黑" w:hAnsi="微软雅黑"/>
        </w:rPr>
        <w:t>米。</w:t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t>重点设计方案需与整体研究思路一致，在此基础上结合范围内现有高架下空间及场地、现有的设备用房、景观绿化等条件，提出创新性与操作性并重的改造方案，旨在指导近期建设实施。</w:t>
      </w:r>
    </w:p>
    <w:p w:rsidR="00A630AE" w:rsidRPr="00A630AE" w:rsidRDefault="00A630AE" w:rsidP="00A630AE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bCs/>
        </w:rPr>
        <w:t>（1）</w:t>
      </w:r>
      <w:r w:rsidRPr="00A630AE">
        <w:rPr>
          <w:rFonts w:ascii="微软雅黑" w:eastAsia="微软雅黑" w:hAnsi="微软雅黑"/>
          <w:b/>
          <w:bCs/>
        </w:rPr>
        <w:t>功能整合设计：</w:t>
      </w:r>
      <w:r w:rsidRPr="00A630AE">
        <w:rPr>
          <w:rFonts w:ascii="微软雅黑" w:eastAsia="微软雅黑" w:hAnsi="微软雅黑"/>
        </w:rPr>
        <w:t>将桥下现有的零散功能加以整合，使其在空间分布和使用方式上更加合理，释放出更多人行空间。</w:t>
      </w:r>
    </w:p>
    <w:p w:rsidR="00A630AE" w:rsidRPr="00A630AE" w:rsidRDefault="00A630AE" w:rsidP="00A630AE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bCs/>
        </w:rPr>
        <w:t>（2）</w:t>
      </w:r>
      <w:r w:rsidRPr="00A630AE">
        <w:rPr>
          <w:rFonts w:ascii="微软雅黑" w:eastAsia="微软雅黑" w:hAnsi="微软雅黑"/>
          <w:b/>
          <w:bCs/>
        </w:rPr>
        <w:t>交通组织设计：</w:t>
      </w:r>
      <w:r w:rsidRPr="00A630AE">
        <w:rPr>
          <w:rFonts w:ascii="微软雅黑" w:eastAsia="微软雅黑" w:hAnsi="微软雅黑"/>
        </w:rPr>
        <w:t>合理组织人行、非机动车、机动车流线，对公交站台的设置位置给予充分考虑；优化站点周边非机动车的停放方式。</w:t>
      </w:r>
    </w:p>
    <w:p w:rsidR="00A630AE" w:rsidRPr="00A630AE" w:rsidRDefault="00A630AE" w:rsidP="00A630AE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bCs/>
        </w:rPr>
        <w:t>（3）</w:t>
      </w:r>
      <w:r w:rsidRPr="00A630AE">
        <w:rPr>
          <w:rFonts w:ascii="微软雅黑" w:eastAsia="微软雅黑" w:hAnsi="微软雅黑"/>
          <w:b/>
          <w:bCs/>
        </w:rPr>
        <w:t>绿化景观设计：</w:t>
      </w:r>
      <w:r w:rsidRPr="00A630AE">
        <w:rPr>
          <w:rFonts w:ascii="微软雅黑" w:eastAsia="微软雅黑" w:hAnsi="微软雅黑"/>
        </w:rPr>
        <w:t>体现生态环境友好的绿化种植设计，体现空间特色、地域文化特色的景观设计，如铺地、灯光照明、街道家具或其他公共环境艺术。</w:t>
      </w:r>
    </w:p>
    <w:p w:rsidR="00A630AE" w:rsidRPr="00A630AE" w:rsidRDefault="00A630AE" w:rsidP="00A630AE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bCs/>
        </w:rPr>
        <w:lastRenderedPageBreak/>
        <w:t>（4）</w:t>
      </w:r>
      <w:r w:rsidRPr="00A630AE">
        <w:rPr>
          <w:rFonts w:ascii="微软雅黑" w:eastAsia="微软雅黑" w:hAnsi="微软雅黑"/>
          <w:b/>
          <w:bCs/>
        </w:rPr>
        <w:t>基础设施服务设计：</w:t>
      </w:r>
      <w:r w:rsidRPr="00A630AE">
        <w:rPr>
          <w:rFonts w:ascii="微软雅黑" w:eastAsia="微软雅黑" w:hAnsi="微软雅黑"/>
        </w:rPr>
        <w:t>为周边人群便民服务等配套设施，需考虑不同时段、不同人群使用需求的差异与同质。</w:t>
      </w:r>
    </w:p>
    <w:p w:rsidR="00662371" w:rsidRPr="00A630AE" w:rsidRDefault="00662371" w:rsidP="00A630AE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:rsidR="00662371" w:rsidRPr="00B34063" w:rsidRDefault="00B34063" w:rsidP="00B34063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六、</w:t>
      </w:r>
      <w:r w:rsidR="002A60CD" w:rsidRPr="00B34063">
        <w:rPr>
          <w:rFonts w:asciiTheme="majorEastAsia" w:eastAsiaTheme="majorEastAsia" w:hAnsiTheme="majorEastAsia"/>
          <w:b/>
          <w:sz w:val="24"/>
        </w:rPr>
        <w:t>提交要求</w:t>
      </w:r>
    </w:p>
    <w:p w:rsidR="00662371" w:rsidRPr="00B34063" w:rsidRDefault="00B34063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B34063">
        <w:rPr>
          <w:rFonts w:ascii="微软雅黑" w:eastAsia="微软雅黑" w:hAnsi="微软雅黑"/>
          <w:b/>
        </w:rPr>
        <w:t>1</w:t>
      </w:r>
      <w:r w:rsidR="002A60CD" w:rsidRPr="00B34063">
        <w:rPr>
          <w:rFonts w:ascii="微软雅黑" w:eastAsia="微软雅黑" w:hAnsi="微软雅黑"/>
          <w:b/>
        </w:rPr>
        <w:t>、图纸要求：</w:t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t>2-3</w:t>
      </w:r>
      <w:r w:rsidRPr="00B34063">
        <w:rPr>
          <w:rFonts w:ascii="微软雅黑" w:eastAsia="微软雅黑" w:hAnsi="微软雅黑"/>
        </w:rPr>
        <w:t>张横版</w:t>
      </w:r>
      <w:r w:rsidRPr="00B34063">
        <w:rPr>
          <w:rFonts w:ascii="微软雅黑" w:eastAsia="微软雅黑" w:hAnsi="微软雅黑"/>
        </w:rPr>
        <w:t>A1</w:t>
      </w:r>
      <w:r w:rsidRPr="00B34063">
        <w:rPr>
          <w:rFonts w:ascii="微软雅黑" w:eastAsia="微软雅黑" w:hAnsi="微软雅黑"/>
        </w:rPr>
        <w:t>图纸（尺寸</w:t>
      </w:r>
      <w:r w:rsidRPr="00B34063">
        <w:rPr>
          <w:rFonts w:ascii="微软雅黑" w:eastAsia="微软雅黑" w:hAnsi="微软雅黑"/>
        </w:rPr>
        <w:t>594mm</w:t>
      </w:r>
      <w:r w:rsidRPr="00B34063">
        <w:rPr>
          <w:rFonts w:ascii="微软雅黑" w:eastAsia="微软雅黑" w:hAnsi="微软雅黑" w:hint="default"/>
        </w:rPr>
        <w:t>×</w:t>
      </w:r>
      <w:r w:rsidRPr="00B34063">
        <w:rPr>
          <w:rFonts w:ascii="微软雅黑" w:eastAsia="微软雅黑" w:hAnsi="微软雅黑"/>
        </w:rPr>
        <w:t>841mm</w:t>
      </w:r>
      <w:r w:rsidRPr="00B34063">
        <w:rPr>
          <w:rFonts w:ascii="微软雅黑" w:eastAsia="微软雅黑" w:hAnsi="微软雅黑"/>
        </w:rPr>
        <w:t>，电子文件</w:t>
      </w:r>
      <w:r w:rsidRPr="00B34063">
        <w:rPr>
          <w:rFonts w:ascii="微软雅黑" w:eastAsia="微软雅黑" w:hAnsi="微软雅黑"/>
        </w:rPr>
        <w:t>jpg</w:t>
      </w:r>
      <w:r w:rsidRPr="00B34063">
        <w:rPr>
          <w:rFonts w:ascii="微软雅黑" w:eastAsia="微软雅黑" w:hAnsi="微软雅黑"/>
        </w:rPr>
        <w:t>或</w:t>
      </w:r>
      <w:r w:rsidRPr="00B34063">
        <w:rPr>
          <w:rFonts w:ascii="微软雅黑" w:eastAsia="微软雅黑" w:hAnsi="微软雅黑"/>
        </w:rPr>
        <w:t>pdf</w:t>
      </w:r>
      <w:r w:rsidRPr="00B34063">
        <w:rPr>
          <w:rFonts w:ascii="微软雅黑" w:eastAsia="微软雅黑" w:hAnsi="微软雅黑"/>
        </w:rPr>
        <w:t>格式，精度</w:t>
      </w:r>
      <w:r w:rsidRPr="00B34063">
        <w:rPr>
          <w:rFonts w:ascii="微软雅黑" w:eastAsia="微软雅黑" w:hAnsi="微软雅黑"/>
        </w:rPr>
        <w:t>300dpi</w:t>
      </w:r>
      <w:r w:rsidRPr="00B34063">
        <w:rPr>
          <w:rFonts w:ascii="微软雅黑" w:eastAsia="微软雅黑" w:hAnsi="微软雅黑"/>
        </w:rPr>
        <w:t>），研究范围和重点设计范围至少各占一张。</w:t>
      </w:r>
      <w:r w:rsidRPr="00B34063">
        <w:rPr>
          <w:rFonts w:ascii="微软雅黑" w:eastAsia="微软雅黑" w:hAnsi="微软雅黑" w:hint="default"/>
        </w:rPr>
        <w:t> </w:t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t>版面内容包括但不限于各类分析图、平面图、立面图、剖面图、轴测图、效果图等，辅以文字说明。可自选体现重点设计范围内的重要节点做放大平面，比例为</w:t>
      </w:r>
      <w:r w:rsidRPr="00B34063">
        <w:rPr>
          <w:rFonts w:ascii="微软雅黑" w:eastAsia="微软雅黑" w:hAnsi="微软雅黑"/>
        </w:rPr>
        <w:t>1:50</w:t>
      </w:r>
      <w:r w:rsidRPr="00B34063">
        <w:rPr>
          <w:rFonts w:ascii="微软雅黑" w:eastAsia="微软雅黑" w:hAnsi="微软雅黑"/>
        </w:rPr>
        <w:t>；其他设计图纸比例不限，要求能清晰、完整地表达设计意图为原则，由设计师和艺术家自行确定。</w:t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t>其他文字、汇报、演示等文件可作为附件提供。</w:t>
      </w:r>
    </w:p>
    <w:p w:rsidR="00662371" w:rsidRPr="00B34063" w:rsidRDefault="00662371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:rsidR="00662371" w:rsidRPr="00B34063" w:rsidRDefault="00B34063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B34063">
        <w:rPr>
          <w:rFonts w:ascii="微软雅黑" w:eastAsia="微软雅黑" w:hAnsi="微软雅黑"/>
          <w:b/>
        </w:rPr>
        <w:t>2</w:t>
      </w:r>
      <w:r w:rsidR="002A60CD" w:rsidRPr="00B34063">
        <w:rPr>
          <w:rFonts w:ascii="微软雅黑" w:eastAsia="微软雅黑" w:hAnsi="微软雅黑"/>
          <w:b/>
        </w:rPr>
        <w:t>、文字说明要求：</w:t>
      </w:r>
    </w:p>
    <w:p w:rsidR="00662371" w:rsidRPr="00B34063" w:rsidRDefault="002A60CD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4063">
        <w:rPr>
          <w:rFonts w:ascii="微软雅黑" w:eastAsia="微软雅黑" w:hAnsi="微软雅黑"/>
        </w:rPr>
        <w:t>说明宜图文并茂，包含项目建设造价预算，采用中文，度量单位采用国际通用的公制单位。</w:t>
      </w:r>
    </w:p>
    <w:p w:rsidR="00662371" w:rsidRPr="00B34063" w:rsidRDefault="00662371" w:rsidP="00B3406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:rsidR="00662371" w:rsidRPr="00B40D53" w:rsidRDefault="002A60CD" w:rsidP="00B40D5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40D53">
        <w:rPr>
          <w:rFonts w:ascii="微软雅黑" w:eastAsia="微软雅黑" w:hAnsi="微软雅黑"/>
        </w:rPr>
        <w:t>*</w:t>
      </w:r>
      <w:r w:rsidRPr="00B40D53">
        <w:rPr>
          <w:rFonts w:ascii="微软雅黑" w:eastAsia="微软雅黑" w:hAnsi="微软雅黑"/>
        </w:rPr>
        <w:t>方案提交成果需同时包含任务</w:t>
      </w:r>
      <w:proofErr w:type="gramStart"/>
      <w:r w:rsidRPr="00B40D53">
        <w:rPr>
          <w:rFonts w:ascii="微软雅黑" w:eastAsia="微软雅黑" w:hAnsi="微软雅黑"/>
        </w:rPr>
        <w:t>一</w:t>
      </w:r>
      <w:proofErr w:type="gramEnd"/>
      <w:r w:rsidRPr="00B40D53">
        <w:rPr>
          <w:rFonts w:ascii="微软雅黑" w:eastAsia="微软雅黑" w:hAnsi="微软雅黑" w:hint="default"/>
        </w:rPr>
        <w:t>“</w:t>
      </w:r>
      <w:r w:rsidRPr="00B40D53">
        <w:rPr>
          <w:rFonts w:ascii="微软雅黑" w:eastAsia="微软雅黑" w:hAnsi="微软雅黑"/>
        </w:rPr>
        <w:t>整体研究</w:t>
      </w:r>
      <w:r w:rsidRPr="00B40D53">
        <w:rPr>
          <w:rFonts w:ascii="微软雅黑" w:eastAsia="微软雅黑" w:hAnsi="微软雅黑" w:hint="default"/>
        </w:rPr>
        <w:t>”</w:t>
      </w:r>
      <w:r w:rsidRPr="00B40D53">
        <w:rPr>
          <w:rFonts w:ascii="微软雅黑" w:eastAsia="微软雅黑" w:hAnsi="微软雅黑"/>
        </w:rPr>
        <w:t>与任务二</w:t>
      </w:r>
      <w:r w:rsidRPr="00B40D53">
        <w:rPr>
          <w:rFonts w:ascii="微软雅黑" w:eastAsia="微软雅黑" w:hAnsi="微软雅黑" w:hint="default"/>
        </w:rPr>
        <w:t>“</w:t>
      </w:r>
      <w:r w:rsidRPr="00B40D53">
        <w:rPr>
          <w:rFonts w:ascii="微软雅黑" w:eastAsia="微软雅黑" w:hAnsi="微软雅黑"/>
        </w:rPr>
        <w:t>重点设计</w:t>
      </w:r>
      <w:r w:rsidRPr="00B40D53">
        <w:rPr>
          <w:rFonts w:ascii="微软雅黑" w:eastAsia="微软雅黑" w:hAnsi="微软雅黑" w:hint="default"/>
        </w:rPr>
        <w:t>”</w:t>
      </w:r>
      <w:r w:rsidRPr="00B40D53">
        <w:rPr>
          <w:rFonts w:ascii="微软雅黑" w:eastAsia="微软雅黑" w:hAnsi="微软雅黑"/>
        </w:rPr>
        <w:t>，否则视为无效。</w:t>
      </w:r>
    </w:p>
    <w:p w:rsidR="00662371" w:rsidRPr="00B40D53" w:rsidRDefault="002A60CD" w:rsidP="00B40D53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40D53">
        <w:rPr>
          <w:rFonts w:ascii="微软雅黑" w:eastAsia="微软雅黑" w:hAnsi="微软雅黑"/>
        </w:rPr>
        <w:t>*</w:t>
      </w:r>
      <w:r w:rsidRPr="00B40D53">
        <w:rPr>
          <w:rFonts w:ascii="微软雅黑" w:eastAsia="微软雅黑" w:hAnsi="微软雅黑"/>
        </w:rPr>
        <w:t>方案评审将根据提交作品情况，确定具体方式。</w:t>
      </w:r>
    </w:p>
    <w:p w:rsidR="00662371" w:rsidRDefault="00662371">
      <w:pPr>
        <w:pStyle w:val="Body"/>
        <w:spacing w:line="360" w:lineRule="auto"/>
        <w:rPr>
          <w:rFonts w:ascii="PingFang SC Medium" w:eastAsia="PingFang SC Medium" w:hAnsi="PingFang SC Medium" w:cs="PingFang SC Medium" w:hint="default"/>
        </w:rPr>
      </w:pPr>
    </w:p>
    <w:p w:rsidR="00662371" w:rsidRPr="00B34063" w:rsidRDefault="00B34063" w:rsidP="00B34063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七、</w:t>
      </w:r>
      <w:r w:rsidR="002A60CD" w:rsidRPr="00B34063">
        <w:rPr>
          <w:rFonts w:asciiTheme="majorEastAsia" w:eastAsiaTheme="majorEastAsia" w:hAnsiTheme="majorEastAsia"/>
          <w:b/>
          <w:sz w:val="24"/>
        </w:rPr>
        <w:t>报名及整体工作安排</w:t>
      </w:r>
    </w:p>
    <w:p w:rsidR="000D6C59" w:rsidRPr="001F6535" w:rsidRDefault="000D6C59" w:rsidP="000D6C59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1F6535">
        <w:rPr>
          <w:rFonts w:ascii="微软雅黑" w:eastAsia="微软雅黑" w:hAnsi="微软雅黑"/>
          <w:b/>
        </w:rPr>
        <w:t>报名截止时间：</w:t>
      </w:r>
      <w:r w:rsidRPr="007F524A">
        <w:rPr>
          <w:rFonts w:ascii="微软雅黑" w:eastAsia="微软雅黑" w:hAnsi="微软雅黑"/>
          <w:b/>
          <w:highlight w:val="yellow"/>
        </w:rPr>
        <w:t>6月30日 17:00</w:t>
      </w:r>
    </w:p>
    <w:p w:rsidR="000D6C59" w:rsidRPr="0017406A" w:rsidRDefault="000D6C59" w:rsidP="000D6C59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F6535">
        <w:rPr>
          <w:rFonts w:ascii="微软雅黑" w:eastAsia="微软雅黑" w:hAnsi="微软雅黑"/>
          <w:b/>
        </w:rPr>
        <w:t>报名方式：</w:t>
      </w:r>
      <w:r w:rsidRPr="0017406A">
        <w:rPr>
          <w:rFonts w:ascii="微软雅黑" w:eastAsia="微软雅黑" w:hAnsi="微软雅黑"/>
        </w:rPr>
        <w:t>编辑信息</w:t>
      </w:r>
      <w:r w:rsidRPr="007F524A">
        <w:rPr>
          <w:rFonts w:ascii="微软雅黑" w:eastAsia="微软雅黑" w:hAnsi="微软雅黑" w:hint="default"/>
          <w:b/>
          <w:highlight w:val="yellow"/>
        </w:rPr>
        <w:t>“</w:t>
      </w:r>
      <w:r w:rsidRPr="007F524A">
        <w:rPr>
          <w:rFonts w:ascii="微软雅黑" w:eastAsia="微软雅黑" w:hAnsi="微软雅黑"/>
          <w:b/>
          <w:highlight w:val="yellow"/>
        </w:rPr>
        <w:t>姓名+职业+单位+电话+邮箱+所选试点</w:t>
      </w:r>
      <w:r w:rsidRPr="007F524A">
        <w:rPr>
          <w:rFonts w:ascii="微软雅黑" w:eastAsia="微软雅黑" w:hAnsi="微软雅黑" w:hint="default"/>
          <w:b/>
          <w:highlight w:val="yellow"/>
        </w:rPr>
        <w:t>”</w:t>
      </w:r>
      <w:r w:rsidRPr="0017406A">
        <w:rPr>
          <w:rFonts w:ascii="微软雅黑" w:eastAsia="微软雅黑" w:hAnsi="微软雅黑"/>
        </w:rPr>
        <w:t>发送至邮箱：</w:t>
      </w:r>
      <w:hyperlink r:id="rId18" w:history="1">
        <w:r w:rsidRPr="007F524A">
          <w:rPr>
            <w:rFonts w:ascii="微软雅黑" w:eastAsia="微软雅黑" w:hAnsi="微软雅黑"/>
            <w:b/>
            <w:highlight w:val="yellow"/>
          </w:rPr>
          <w:t>walking_sh@sdpcus.com</w:t>
        </w:r>
      </w:hyperlink>
    </w:p>
    <w:p w:rsidR="000D6C59" w:rsidRPr="0017406A" w:rsidRDefault="000D6C59" w:rsidP="000D6C59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7月5日前，设计说明会及现场踏勘（邮件</w:t>
      </w:r>
      <w:r>
        <w:rPr>
          <w:rFonts w:ascii="微软雅黑" w:eastAsia="微软雅黑" w:hAnsi="微软雅黑"/>
        </w:rPr>
        <w:t>提前</w:t>
      </w:r>
      <w:r w:rsidRPr="0017406A">
        <w:rPr>
          <w:rFonts w:ascii="微软雅黑" w:eastAsia="微软雅黑" w:hAnsi="微软雅黑"/>
        </w:rPr>
        <w:t>通知</w:t>
      </w:r>
      <w:r>
        <w:rPr>
          <w:rFonts w:ascii="微软雅黑" w:eastAsia="微软雅黑" w:hAnsi="微软雅黑"/>
        </w:rPr>
        <w:t>具体安排</w:t>
      </w:r>
      <w:r w:rsidRPr="0017406A">
        <w:rPr>
          <w:rFonts w:ascii="微软雅黑" w:eastAsia="微软雅黑" w:hAnsi="微软雅黑"/>
        </w:rPr>
        <w:t>）</w:t>
      </w:r>
    </w:p>
    <w:p w:rsidR="000D6C59" w:rsidRDefault="000D6C59" w:rsidP="000D6C59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1F6535">
        <w:rPr>
          <w:rFonts w:ascii="微软雅黑" w:eastAsia="微软雅黑" w:hAnsi="微软雅黑"/>
          <w:b/>
        </w:rPr>
        <w:t>提交方案成果截止时间：</w:t>
      </w:r>
      <w:r w:rsidRPr="007F524A">
        <w:rPr>
          <w:rFonts w:ascii="微软雅黑" w:eastAsia="微软雅黑" w:hAnsi="微软雅黑"/>
          <w:b/>
          <w:highlight w:val="yellow"/>
        </w:rPr>
        <w:t>8月5日17:00</w:t>
      </w:r>
      <w:r w:rsidRPr="001F6535">
        <w:rPr>
          <w:rFonts w:ascii="微软雅黑" w:eastAsia="微软雅黑" w:hAnsi="微软雅黑"/>
          <w:b/>
        </w:rPr>
        <w:t xml:space="preserve">   </w:t>
      </w:r>
      <w:r w:rsidRPr="001F6535">
        <w:rPr>
          <w:rFonts w:ascii="微软雅黑" w:eastAsia="微软雅黑" w:hAnsi="微软雅黑"/>
        </w:rPr>
        <w:t>成果发送至邮箱</w:t>
      </w:r>
      <w:r>
        <w:rPr>
          <w:rFonts w:ascii="微软雅黑" w:eastAsia="微软雅黑" w:hAnsi="微软雅黑"/>
        </w:rPr>
        <w:t>：</w:t>
      </w:r>
      <w:hyperlink r:id="rId19" w:history="1">
        <w:r w:rsidRPr="007F524A">
          <w:rPr>
            <w:b/>
            <w:highlight w:val="yellow"/>
          </w:rPr>
          <w:t>walking_sh@sdpcus.com</w:t>
        </w:r>
      </w:hyperlink>
    </w:p>
    <w:p w:rsidR="000D6C59" w:rsidRPr="0017406A" w:rsidRDefault="000D6C59" w:rsidP="000D6C59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8月中旬组织方案专家评审会</w:t>
      </w:r>
    </w:p>
    <w:p w:rsidR="000D6C59" w:rsidRDefault="000D6C59" w:rsidP="000D6C59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8月底，完成颁发奖金及奖状</w:t>
      </w:r>
    </w:p>
    <w:p w:rsidR="000D6C59" w:rsidRPr="0017406A" w:rsidRDefault="000D6C59" w:rsidP="000D6C59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:rsidR="000D6C59" w:rsidRPr="0017406A" w:rsidRDefault="000D6C59" w:rsidP="000D6C59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*设计师可根据自身情况，选择一个或多个试点报名均可。</w:t>
      </w:r>
    </w:p>
    <w:p w:rsidR="000D6C59" w:rsidRPr="0017406A" w:rsidRDefault="000D6C59" w:rsidP="000D6C59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*报名后主办方将于</w:t>
      </w:r>
      <w:r>
        <w:rPr>
          <w:rFonts w:ascii="微软雅黑" w:eastAsia="微软雅黑" w:hAnsi="微软雅黑"/>
        </w:rPr>
        <w:t>1-</w:t>
      </w:r>
      <w:r w:rsidRPr="0017406A">
        <w:rPr>
          <w:rFonts w:ascii="微软雅黑" w:eastAsia="微软雅黑" w:hAnsi="微软雅黑"/>
        </w:rPr>
        <w:t>2个工作日内回复邮件确认报名成功</w:t>
      </w:r>
      <w:r>
        <w:rPr>
          <w:rFonts w:ascii="微软雅黑" w:eastAsia="微软雅黑" w:hAnsi="微软雅黑"/>
        </w:rPr>
        <w:t>，通知</w:t>
      </w:r>
      <w:r w:rsidRPr="007F524A">
        <w:rPr>
          <w:rFonts w:ascii="微软雅黑" w:eastAsia="微软雅黑" w:hAnsi="微软雅黑"/>
          <w:b/>
          <w:highlight w:val="yellow"/>
        </w:rPr>
        <w:t>报名序号</w:t>
      </w:r>
      <w:r w:rsidRPr="0017406A">
        <w:rPr>
          <w:rFonts w:ascii="微软雅黑" w:eastAsia="微软雅黑" w:hAnsi="微软雅黑"/>
        </w:rPr>
        <w:t>，并在7月5日之前通过邮件向报名者发放设计资料包，通知后续活动，敬请关注。</w:t>
      </w:r>
    </w:p>
    <w:p w:rsidR="000D6C59" w:rsidRPr="0017406A" w:rsidRDefault="000D6C59" w:rsidP="000D6C59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*设计资料</w:t>
      </w:r>
      <w:proofErr w:type="gramStart"/>
      <w:r w:rsidRPr="0017406A">
        <w:rPr>
          <w:rFonts w:ascii="微软雅黑" w:eastAsia="微软雅黑" w:hAnsi="微软雅黑"/>
        </w:rPr>
        <w:t>包内容</w:t>
      </w:r>
      <w:proofErr w:type="gramEnd"/>
      <w:r w:rsidRPr="0017406A">
        <w:rPr>
          <w:rFonts w:ascii="微软雅黑" w:eastAsia="微软雅黑" w:hAnsi="微软雅黑"/>
        </w:rPr>
        <w:t>包括所选试点的设计任务书、基地地形图CAD的EPS文件、地形图保密协议。若您需要CAD文件，请在保密协议签名后扫描成清晰可辨认的照片，将扫描照片发送</w:t>
      </w:r>
      <w:proofErr w:type="gramStart"/>
      <w:r w:rsidRPr="0017406A">
        <w:rPr>
          <w:rFonts w:ascii="微软雅黑" w:eastAsia="微软雅黑" w:hAnsi="微软雅黑"/>
        </w:rPr>
        <w:t>至联系</w:t>
      </w:r>
      <w:proofErr w:type="gramEnd"/>
      <w:r w:rsidRPr="0017406A">
        <w:rPr>
          <w:rFonts w:ascii="微软雅黑" w:eastAsia="微软雅黑" w:hAnsi="微软雅黑"/>
        </w:rPr>
        <w:t>邮箱，主办方可提供CAD文件。</w:t>
      </w:r>
    </w:p>
    <w:p w:rsidR="000D6C59" w:rsidRPr="0017406A" w:rsidRDefault="000D6C59" w:rsidP="000D6C59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*</w:t>
      </w:r>
      <w:r>
        <w:rPr>
          <w:rFonts w:ascii="微软雅黑" w:eastAsia="微软雅黑" w:hAnsi="微软雅黑"/>
        </w:rPr>
        <w:t>方案评审为匿名形式，</w:t>
      </w:r>
      <w:r w:rsidRPr="0017406A">
        <w:rPr>
          <w:rFonts w:ascii="微软雅黑" w:eastAsia="微软雅黑" w:hAnsi="微软雅黑"/>
        </w:rPr>
        <w:t>设计师</w:t>
      </w:r>
      <w:r>
        <w:rPr>
          <w:rFonts w:ascii="微软雅黑" w:eastAsia="微软雅黑" w:hAnsi="微软雅黑"/>
        </w:rPr>
        <w:t>提交的</w:t>
      </w:r>
      <w:r w:rsidRPr="00FE6C98">
        <w:rPr>
          <w:rFonts w:ascii="微软雅黑" w:eastAsia="微软雅黑" w:hAnsi="微软雅黑"/>
          <w:b/>
          <w:highlight w:val="yellow"/>
        </w:rPr>
        <w:t>设计成果中只能标注“报名序号”</w:t>
      </w:r>
      <w:r>
        <w:rPr>
          <w:rFonts w:ascii="微软雅黑" w:eastAsia="微软雅黑" w:hAnsi="微软雅黑"/>
        </w:rPr>
        <w:t>，不允许出现团队、公司或人员信息。</w:t>
      </w:r>
    </w:p>
    <w:p w:rsidR="00662371" w:rsidRDefault="00662371" w:rsidP="000D6C59">
      <w:pPr>
        <w:pStyle w:val="Body"/>
        <w:spacing w:line="360" w:lineRule="auto"/>
        <w:ind w:firstLineChars="193" w:firstLine="425"/>
        <w:jc w:val="both"/>
        <w:rPr>
          <w:rFonts w:hint="default"/>
        </w:rPr>
      </w:pPr>
    </w:p>
    <w:sectPr w:rsidR="00662371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0CD" w:rsidRDefault="002A60CD">
      <w:r>
        <w:separator/>
      </w:r>
    </w:p>
  </w:endnote>
  <w:endnote w:type="continuationSeparator" w:id="0">
    <w:p w:rsidR="002A60CD" w:rsidRDefault="002A6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">
    <w:altName w:val="微软雅黑"/>
    <w:charset w:val="00"/>
    <w:family w:val="auto"/>
    <w:pitch w:val="variable"/>
    <w:sig w:usb0="00000003" w:usb1="500079DB" w:usb2="0000001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 Medium">
    <w:altName w:val="Arial Unicode MS"/>
    <w:charset w:val="86"/>
    <w:family w:val="swiss"/>
    <w:pitch w:val="variable"/>
    <w:sig w:usb0="00000000" w:usb1="7ACFFDFB" w:usb2="00000017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ingFang SC Light">
    <w:altName w:val="微软雅黑"/>
    <w:charset w:val="86"/>
    <w:family w:val="swiss"/>
    <w:pitch w:val="variable"/>
    <w:sig w:usb0="00000000" w:usb1="7ACFFDFB" w:usb2="00000017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0CD" w:rsidRDefault="002A60CD">
      <w:r>
        <w:separator/>
      </w:r>
    </w:p>
  </w:footnote>
  <w:footnote w:type="continuationSeparator" w:id="0">
    <w:p w:rsidR="002A60CD" w:rsidRDefault="002A60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504D4"/>
    <w:multiLevelType w:val="hybridMultilevel"/>
    <w:tmpl w:val="87A2B32C"/>
    <w:numStyleLink w:val="Numbered"/>
  </w:abstractNum>
  <w:abstractNum w:abstractNumId="1">
    <w:nsid w:val="57F92B88"/>
    <w:multiLevelType w:val="hybridMultilevel"/>
    <w:tmpl w:val="87A2B32C"/>
    <w:styleLink w:val="Numbered"/>
    <w:lvl w:ilvl="0" w:tplc="244037B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7A8758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D492DA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B2B79A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34A796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3A26FC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0CEAC2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8CCD04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C2071A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62371"/>
    <w:rsid w:val="000D6C59"/>
    <w:rsid w:val="001B659B"/>
    <w:rsid w:val="002A60CD"/>
    <w:rsid w:val="00631A33"/>
    <w:rsid w:val="00662371"/>
    <w:rsid w:val="00871884"/>
    <w:rsid w:val="008D6000"/>
    <w:rsid w:val="009235DA"/>
    <w:rsid w:val="00A630AE"/>
    <w:rsid w:val="00B34063"/>
    <w:rsid w:val="00B4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paragraph" w:customStyle="1" w:styleId="Default">
    <w:name w:val="Default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numbering" w:customStyle="1" w:styleId="Numbered">
    <w:name w:val="Numbered"/>
    <w:pPr>
      <w:numPr>
        <w:numId w:val="1"/>
      </w:numPr>
    </w:pPr>
  </w:style>
  <w:style w:type="character" w:customStyle="1" w:styleId="Hyperlink0">
    <w:name w:val="Hyperlink.0"/>
    <w:basedOn w:val="a3"/>
    <w:rPr>
      <w:u w:val="single"/>
    </w:rPr>
  </w:style>
  <w:style w:type="paragraph" w:styleId="a4">
    <w:name w:val="header"/>
    <w:basedOn w:val="a"/>
    <w:link w:val="Char"/>
    <w:uiPriority w:val="99"/>
    <w:unhideWhenUsed/>
    <w:rsid w:val="009235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235DA"/>
    <w:rPr>
      <w:sz w:val="18"/>
      <w:szCs w:val="18"/>
      <w:lang w:eastAsia="en-US"/>
    </w:rPr>
  </w:style>
  <w:style w:type="paragraph" w:styleId="a5">
    <w:name w:val="footer"/>
    <w:basedOn w:val="a"/>
    <w:link w:val="Char0"/>
    <w:uiPriority w:val="99"/>
    <w:unhideWhenUsed/>
    <w:rsid w:val="009235D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235DA"/>
    <w:rPr>
      <w:sz w:val="18"/>
      <w:szCs w:val="18"/>
      <w:lang w:eastAsia="en-US"/>
    </w:rPr>
  </w:style>
  <w:style w:type="paragraph" w:styleId="a6">
    <w:name w:val="Balloon Text"/>
    <w:basedOn w:val="a"/>
    <w:link w:val="Char1"/>
    <w:uiPriority w:val="99"/>
    <w:semiHidden/>
    <w:unhideWhenUsed/>
    <w:rsid w:val="001B659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B659B"/>
    <w:rPr>
      <w:sz w:val="18"/>
      <w:szCs w:val="18"/>
      <w:lang w:eastAsia="en-US"/>
    </w:rPr>
  </w:style>
  <w:style w:type="paragraph" w:styleId="a7">
    <w:name w:val="Normal (Web)"/>
    <w:basedOn w:val="a"/>
    <w:uiPriority w:val="99"/>
    <w:semiHidden/>
    <w:unhideWhenUsed/>
    <w:rsid w:val="008D60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宋体" w:eastAsia="宋体" w:hAnsi="宋体" w:cs="宋体"/>
      <w:bdr w:val="none" w:sz="0" w:space="0" w:color="auto"/>
      <w:lang w:eastAsia="zh-CN"/>
    </w:rPr>
  </w:style>
  <w:style w:type="character" w:styleId="a8">
    <w:name w:val="Strong"/>
    <w:basedOn w:val="a0"/>
    <w:uiPriority w:val="22"/>
    <w:qFormat/>
    <w:rsid w:val="00A630A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paragraph" w:customStyle="1" w:styleId="Default">
    <w:name w:val="Default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numbering" w:customStyle="1" w:styleId="Numbered">
    <w:name w:val="Numbered"/>
    <w:pPr>
      <w:numPr>
        <w:numId w:val="1"/>
      </w:numPr>
    </w:pPr>
  </w:style>
  <w:style w:type="character" w:customStyle="1" w:styleId="Hyperlink0">
    <w:name w:val="Hyperlink.0"/>
    <w:basedOn w:val="a3"/>
    <w:rPr>
      <w:u w:val="single"/>
    </w:rPr>
  </w:style>
  <w:style w:type="paragraph" w:styleId="a4">
    <w:name w:val="header"/>
    <w:basedOn w:val="a"/>
    <w:link w:val="Char"/>
    <w:uiPriority w:val="99"/>
    <w:unhideWhenUsed/>
    <w:rsid w:val="009235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235DA"/>
    <w:rPr>
      <w:sz w:val="18"/>
      <w:szCs w:val="18"/>
      <w:lang w:eastAsia="en-US"/>
    </w:rPr>
  </w:style>
  <w:style w:type="paragraph" w:styleId="a5">
    <w:name w:val="footer"/>
    <w:basedOn w:val="a"/>
    <w:link w:val="Char0"/>
    <w:uiPriority w:val="99"/>
    <w:unhideWhenUsed/>
    <w:rsid w:val="009235D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235DA"/>
    <w:rPr>
      <w:sz w:val="18"/>
      <w:szCs w:val="18"/>
      <w:lang w:eastAsia="en-US"/>
    </w:rPr>
  </w:style>
  <w:style w:type="paragraph" w:styleId="a6">
    <w:name w:val="Balloon Text"/>
    <w:basedOn w:val="a"/>
    <w:link w:val="Char1"/>
    <w:uiPriority w:val="99"/>
    <w:semiHidden/>
    <w:unhideWhenUsed/>
    <w:rsid w:val="001B659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B659B"/>
    <w:rPr>
      <w:sz w:val="18"/>
      <w:szCs w:val="18"/>
      <w:lang w:eastAsia="en-US"/>
    </w:rPr>
  </w:style>
  <w:style w:type="paragraph" w:styleId="a7">
    <w:name w:val="Normal (Web)"/>
    <w:basedOn w:val="a"/>
    <w:uiPriority w:val="99"/>
    <w:semiHidden/>
    <w:unhideWhenUsed/>
    <w:rsid w:val="008D60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宋体" w:eastAsia="宋体" w:hAnsi="宋体" w:cs="宋体"/>
      <w:bdr w:val="none" w:sz="0" w:space="0" w:color="auto"/>
      <w:lang w:eastAsia="zh-CN"/>
    </w:rPr>
  </w:style>
  <w:style w:type="character" w:styleId="a8">
    <w:name w:val="Strong"/>
    <w:basedOn w:val="a0"/>
    <w:uiPriority w:val="22"/>
    <w:qFormat/>
    <w:rsid w:val="00A630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walking_sh@sdpcus.co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mailto:walking_sh@sdpcu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430</Words>
  <Characters>2453</Characters>
  <Application>Microsoft Office Word</Application>
  <DocSecurity>0</DocSecurity>
  <Lines>20</Lines>
  <Paragraphs>5</Paragraphs>
  <ScaleCrop>false</ScaleCrop>
  <Company>microsoft</Company>
  <LinksUpToDate>false</LinksUpToDate>
  <CharactersWithSpaces>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10</cp:revision>
  <dcterms:created xsi:type="dcterms:W3CDTF">2019-06-18T08:08:00Z</dcterms:created>
  <dcterms:modified xsi:type="dcterms:W3CDTF">2019-06-18T08:27:00Z</dcterms:modified>
</cp:coreProperties>
</file>