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C7634C" w14:textId="08CDB021" w:rsidR="00C402DE" w:rsidRPr="0017406A" w:rsidRDefault="004104C4" w:rsidP="0091148F">
      <w:pPr>
        <w:pStyle w:val="Body"/>
        <w:spacing w:line="360" w:lineRule="auto"/>
        <w:jc w:val="center"/>
        <w:rPr>
          <w:rFonts w:asciiTheme="majorEastAsia" w:eastAsiaTheme="majorEastAsia" w:hAnsiTheme="majorEastAsia" w:hint="default"/>
          <w:b/>
          <w:sz w:val="28"/>
        </w:rPr>
      </w:pPr>
      <w:r w:rsidRPr="0017406A">
        <w:rPr>
          <w:rFonts w:asciiTheme="majorEastAsia" w:eastAsiaTheme="majorEastAsia" w:hAnsiTheme="majorEastAsia"/>
          <w:b/>
          <w:sz w:val="28"/>
        </w:rPr>
        <w:t>试点</w:t>
      </w:r>
      <w:proofErr w:type="gramStart"/>
      <w:r w:rsidRPr="0017406A">
        <w:rPr>
          <w:rFonts w:asciiTheme="majorEastAsia" w:eastAsiaTheme="majorEastAsia" w:hAnsiTheme="majorEastAsia"/>
          <w:b/>
          <w:sz w:val="28"/>
        </w:rPr>
        <w:t>一</w:t>
      </w:r>
      <w:proofErr w:type="gramEnd"/>
      <w:r w:rsidRPr="0017406A">
        <w:rPr>
          <w:rFonts w:asciiTheme="majorEastAsia" w:eastAsiaTheme="majorEastAsia" w:hAnsiTheme="majorEastAsia"/>
          <w:b/>
          <w:sz w:val="28"/>
        </w:rPr>
        <w:t>：虹口区</w:t>
      </w:r>
      <w:r w:rsidR="006F6632" w:rsidRPr="0017406A">
        <w:rPr>
          <w:rFonts w:asciiTheme="majorEastAsia" w:eastAsiaTheme="majorEastAsia" w:hAnsiTheme="majorEastAsia"/>
          <w:b/>
          <w:sz w:val="28"/>
        </w:rPr>
        <w:t>轨道交通3号线</w:t>
      </w:r>
      <w:r w:rsidRPr="0017406A">
        <w:rPr>
          <w:rFonts w:asciiTheme="majorEastAsia" w:eastAsiaTheme="majorEastAsia" w:hAnsiTheme="majorEastAsia"/>
          <w:b/>
          <w:sz w:val="28"/>
        </w:rPr>
        <w:t>虹口足球场站</w:t>
      </w:r>
      <w:r w:rsidR="006F6632" w:rsidRPr="0017406A">
        <w:rPr>
          <w:rFonts w:asciiTheme="majorEastAsia" w:eastAsiaTheme="majorEastAsia" w:hAnsiTheme="majorEastAsia"/>
          <w:b/>
          <w:sz w:val="28"/>
        </w:rPr>
        <w:t>桥下空间</w:t>
      </w:r>
    </w:p>
    <w:p w14:paraId="44D73056" w14:textId="7D4EA13A" w:rsidR="006F6632" w:rsidRPr="0017406A" w:rsidRDefault="006F6632" w:rsidP="0091148F">
      <w:pPr>
        <w:pStyle w:val="Body"/>
        <w:spacing w:line="360" w:lineRule="auto"/>
        <w:jc w:val="center"/>
        <w:rPr>
          <w:rFonts w:asciiTheme="majorEastAsia" w:eastAsiaTheme="majorEastAsia" w:hAnsiTheme="majorEastAsia" w:cs="PingFang SC Medium" w:hint="default"/>
          <w:b/>
          <w:sz w:val="28"/>
        </w:rPr>
      </w:pPr>
      <w:r w:rsidRPr="0017406A">
        <w:rPr>
          <w:rFonts w:asciiTheme="majorEastAsia" w:eastAsiaTheme="majorEastAsia" w:hAnsiTheme="majorEastAsia"/>
          <w:b/>
          <w:sz w:val="28"/>
        </w:rPr>
        <w:t>设计任务书</w:t>
      </w:r>
    </w:p>
    <w:p w14:paraId="36391F2B" w14:textId="77777777" w:rsidR="00C402DE" w:rsidRDefault="00C402DE" w:rsidP="008648CF">
      <w:pPr>
        <w:pStyle w:val="Body"/>
        <w:spacing w:line="360" w:lineRule="auto"/>
        <w:jc w:val="both"/>
        <w:rPr>
          <w:rFonts w:ascii="PingFang SC Light" w:eastAsia="PingFang SC Light" w:hAnsi="PingFang SC Light" w:cs="PingFang SC Light" w:hint="default"/>
        </w:rPr>
      </w:pPr>
    </w:p>
    <w:p w14:paraId="0F11EC4B" w14:textId="6F1F9295" w:rsidR="00C402DE" w:rsidRPr="0017406A" w:rsidRDefault="006F6632" w:rsidP="008648CF">
      <w:pPr>
        <w:pStyle w:val="Body"/>
        <w:spacing w:line="360" w:lineRule="auto"/>
        <w:jc w:val="both"/>
        <w:rPr>
          <w:rFonts w:asciiTheme="majorEastAsia" w:eastAsiaTheme="majorEastAsia" w:hAnsiTheme="majorEastAsia" w:cs="PingFang SC Medium" w:hint="default"/>
          <w:b/>
          <w:sz w:val="24"/>
        </w:rPr>
      </w:pPr>
      <w:r w:rsidRPr="0017406A">
        <w:rPr>
          <w:rFonts w:asciiTheme="majorEastAsia" w:eastAsiaTheme="majorEastAsia" w:hAnsiTheme="majorEastAsia"/>
          <w:b/>
          <w:sz w:val="24"/>
        </w:rPr>
        <w:t>一、</w:t>
      </w:r>
      <w:r w:rsidR="004104C4" w:rsidRPr="0017406A">
        <w:rPr>
          <w:rFonts w:asciiTheme="majorEastAsia" w:eastAsiaTheme="majorEastAsia" w:hAnsiTheme="majorEastAsia"/>
          <w:b/>
          <w:sz w:val="24"/>
        </w:rPr>
        <w:t>区位概况</w:t>
      </w:r>
    </w:p>
    <w:p w14:paraId="3DA2B1E4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cs="PingFang SC Light" w:hint="default"/>
        </w:rPr>
      </w:pPr>
      <w:r w:rsidRPr="0017406A">
        <w:rPr>
          <w:rFonts w:ascii="微软雅黑" w:eastAsia="微软雅黑" w:hAnsi="微软雅黑"/>
        </w:rPr>
        <w:t>轨道交通3号</w:t>
      </w:r>
      <w:proofErr w:type="gramStart"/>
      <w:r w:rsidRPr="0017406A">
        <w:rPr>
          <w:rFonts w:ascii="微软雅黑" w:eastAsia="微软雅黑" w:hAnsi="微软雅黑"/>
        </w:rPr>
        <w:t>线属于</w:t>
      </w:r>
      <w:proofErr w:type="gramEnd"/>
      <w:r w:rsidRPr="0017406A">
        <w:rPr>
          <w:rFonts w:ascii="微软雅黑" w:eastAsia="微软雅黑" w:hAnsi="微软雅黑"/>
        </w:rPr>
        <w:t>轨道交通高架桥下空间。轨道交通3号线由老沪杭铁路内环线和淞沪铁路改建而来，2000年底3号线一期开始运营，3、4号线共线运营之后，成为上海中心城区内为数不多以高架形式为主的地铁线路。</w:t>
      </w:r>
    </w:p>
    <w:p w14:paraId="258F5DF5" w14:textId="77777777" w:rsidR="00C402DE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基地紧邻虹口足球场，站点与东侧的虹口足球场平台、西侧的虹口龙之梦均已通过天桥、步道连接，出站后能快速地进入周边几座重要的建筑物。同时也承担着与8号线的换乘。周边既有写字楼、商场、创意产业园，也存在着大量建设年代不同的住宅区，是虹口区重要的交通枢纽与商圈。</w:t>
      </w:r>
    </w:p>
    <w:p w14:paraId="4C83F6A1" w14:textId="7E40474C" w:rsidR="002319E3" w:rsidRDefault="002319E3" w:rsidP="00BC7DB7">
      <w:pPr>
        <w:pStyle w:val="Body"/>
        <w:spacing w:line="360" w:lineRule="auto"/>
        <w:jc w:val="center"/>
        <w:rPr>
          <w:rFonts w:ascii="微软雅黑" w:eastAsia="微软雅黑" w:hAnsi="微软雅黑" w:cs="PingFang SC Light" w:hint="default"/>
        </w:rPr>
      </w:pPr>
      <w:r>
        <w:rPr>
          <w:rFonts w:ascii="微软雅黑" w:eastAsia="微软雅黑" w:hAnsi="微软雅黑" w:cs="PingFang SC Light" w:hint="default"/>
          <w:noProof/>
          <w:lang w:val="en-US"/>
        </w:rPr>
        <w:drawing>
          <wp:inline distT="0" distB="0" distL="0" distR="0" wp14:anchorId="02FC2AEB" wp14:editId="6BE240F8">
            <wp:extent cx="5268684" cy="2634343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虹口足球场站区位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74" cy="264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0B3E" w14:textId="03AB2D2F" w:rsidR="00521734" w:rsidRPr="00521734" w:rsidRDefault="00521734" w:rsidP="00BC7DB7">
      <w:pPr>
        <w:pStyle w:val="Body"/>
        <w:spacing w:line="360" w:lineRule="auto"/>
        <w:jc w:val="center"/>
        <w:rPr>
          <w:rFonts w:ascii="Helvetica Neue" w:eastAsiaTheme="minorEastAsia" w:hAnsi="Helvetica Neue" w:hint="default"/>
          <w:color w:val="5B5D5E"/>
          <w:sz w:val="20"/>
          <w:szCs w:val="20"/>
        </w:rPr>
      </w:pPr>
      <w:r>
        <w:rPr>
          <w:rFonts w:ascii="Helvetica Neue" w:hAnsi="Helvetica Neue"/>
          <w:color w:val="5B5D5E"/>
          <w:sz w:val="20"/>
          <w:szCs w:val="20"/>
        </w:rPr>
        <w:t>虹口足球场站区位图</w:t>
      </w:r>
    </w:p>
    <w:p w14:paraId="08144996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cs="PingFang SC Light" w:hint="default"/>
        </w:rPr>
      </w:pPr>
      <w:r w:rsidRPr="0017406A">
        <w:rPr>
          <w:rFonts w:ascii="微软雅黑" w:eastAsia="微软雅黑" w:hAnsi="微软雅黑"/>
        </w:rPr>
        <w:t>在虹口足球场举办赛事、演唱会时，站点及邻近的公共广场要面临短时间内大人流的集散，也因此呈现出与平时不同的使用状态。依托足球场本身的优势，站点周围聚集着诸多经营健身、餐饮、休闲、娱乐的设施与商家。</w:t>
      </w:r>
    </w:p>
    <w:p w14:paraId="0D57C135" w14:textId="31BA2992" w:rsidR="00C402DE" w:rsidRDefault="00521734" w:rsidP="00BC7DB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lastRenderedPageBreak/>
        <w:drawing>
          <wp:inline distT="0" distB="0" distL="0" distR="0" wp14:anchorId="4DD99EFA" wp14:editId="1C948A0C">
            <wp:extent cx="5311845" cy="2661433"/>
            <wp:effectExtent l="0" t="0" r="317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虹口足球场站区位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854" cy="26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43F5" w14:textId="42DDC210" w:rsidR="00521734" w:rsidRDefault="00521734" w:rsidP="00BC7DB7">
      <w:pPr>
        <w:pStyle w:val="Body"/>
        <w:spacing w:line="360" w:lineRule="auto"/>
        <w:jc w:val="center"/>
        <w:rPr>
          <w:rFonts w:ascii="Helvetica Neue" w:eastAsiaTheme="minorEastAsia" w:hAnsi="Helvetica Neue" w:hint="default"/>
          <w:color w:val="5B5D5E"/>
          <w:sz w:val="20"/>
          <w:szCs w:val="20"/>
        </w:rPr>
      </w:pPr>
      <w:r>
        <w:rPr>
          <w:rFonts w:ascii="Helvetica Neue" w:hAnsi="Helvetica Neue"/>
          <w:color w:val="5B5D5E"/>
          <w:sz w:val="20"/>
          <w:szCs w:val="20"/>
        </w:rPr>
        <w:t>周边主要公共交通线路</w:t>
      </w:r>
    </w:p>
    <w:p w14:paraId="506ABE72" w14:textId="77777777" w:rsidR="00521734" w:rsidRPr="00521734" w:rsidRDefault="00521734" w:rsidP="008648CF">
      <w:pPr>
        <w:pStyle w:val="Body"/>
        <w:spacing w:line="360" w:lineRule="auto"/>
        <w:jc w:val="both"/>
        <w:rPr>
          <w:rFonts w:ascii="PingFang SC Light" w:eastAsiaTheme="minorEastAsia" w:hAnsi="PingFang SC Light" w:cs="PingFang SC Light" w:hint="default"/>
        </w:rPr>
      </w:pPr>
    </w:p>
    <w:p w14:paraId="7A9BCD31" w14:textId="2DDB4867" w:rsidR="00C402DE" w:rsidRPr="0017406A" w:rsidRDefault="006F6632" w:rsidP="008648CF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 w:rsidRPr="0017406A">
        <w:rPr>
          <w:rFonts w:asciiTheme="majorEastAsia" w:eastAsiaTheme="majorEastAsia" w:hAnsiTheme="majorEastAsia"/>
          <w:b/>
          <w:sz w:val="24"/>
        </w:rPr>
        <w:t>二、</w:t>
      </w:r>
      <w:r w:rsidR="004104C4" w:rsidRPr="0017406A">
        <w:rPr>
          <w:rFonts w:asciiTheme="majorEastAsia" w:eastAsiaTheme="majorEastAsia" w:hAnsiTheme="majorEastAsia"/>
          <w:b/>
          <w:sz w:val="24"/>
        </w:rPr>
        <w:t>基地范围</w:t>
      </w:r>
    </w:p>
    <w:p w14:paraId="461BC0D2" w14:textId="693E19DF" w:rsidR="00C402DE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虹口足球场站的整体研究范围沿东江湾路和西江湾路从南向北展开，南起花园路，北至虹口游泳池，总长度约300米。轻轨站南北出入口的楼梯、广场区段为重点设计范围，全部为高架轨道下空间，宽度约25米。与站点衔接的</w:t>
      </w:r>
      <w:r w:rsidR="003819AB" w:rsidRPr="0017406A">
        <w:rPr>
          <w:rFonts w:ascii="微软雅黑" w:eastAsia="微软雅黑" w:hAnsi="微软雅黑"/>
        </w:rPr>
        <w:t>各广场、步行空间等</w:t>
      </w:r>
      <w:r w:rsidRPr="0017406A">
        <w:rPr>
          <w:rFonts w:ascii="微软雅黑" w:eastAsia="微软雅黑" w:hAnsi="微软雅黑"/>
        </w:rPr>
        <w:t>也应纳入场地的整体考虑。</w:t>
      </w:r>
    </w:p>
    <w:p w14:paraId="613BC1BA" w14:textId="1CE41500" w:rsidR="002319E3" w:rsidRDefault="00521734" w:rsidP="00BC7DB7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 wp14:anchorId="750660D6" wp14:editId="613878FD">
            <wp:extent cx="5482068" cy="3865546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虹口足球场站基地平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067" cy="386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9614" w14:textId="5A81C42D" w:rsidR="00521734" w:rsidRPr="0017406A" w:rsidRDefault="00521734" w:rsidP="00BC7DB7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Helvetica Neue" w:hAnsi="Helvetica Neue"/>
          <w:color w:val="5B5D5E"/>
          <w:sz w:val="20"/>
          <w:szCs w:val="20"/>
        </w:rPr>
        <w:t>虹口足球场站研究与设计范围</w:t>
      </w:r>
    </w:p>
    <w:p w14:paraId="31C1010C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lastRenderedPageBreak/>
        <w:t>轻轨站下空间净高约7.5米，高架线路结构</w:t>
      </w:r>
      <w:proofErr w:type="gramStart"/>
      <w:r w:rsidRPr="0017406A">
        <w:rPr>
          <w:rFonts w:ascii="微软雅黑" w:eastAsia="微软雅黑" w:hAnsi="微软雅黑"/>
        </w:rPr>
        <w:t>下空间</w:t>
      </w:r>
      <w:proofErr w:type="gramEnd"/>
      <w:r w:rsidRPr="0017406A">
        <w:rPr>
          <w:rFonts w:ascii="微软雅黑" w:eastAsia="微软雅黑" w:hAnsi="微软雅黑"/>
        </w:rPr>
        <w:t>净高约5米。</w:t>
      </w:r>
    </w:p>
    <w:p w14:paraId="5451EB25" w14:textId="75672771" w:rsidR="00C402DE" w:rsidRDefault="00521734" w:rsidP="00BC7DB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 wp14:anchorId="1161008E" wp14:editId="469B4669">
            <wp:extent cx="6120130" cy="12592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虹口足球场站基地剖面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1152" w14:textId="2293CD76" w:rsidR="00521734" w:rsidRDefault="00521734" w:rsidP="00BC7DB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Helvetica Neue" w:hAnsi="Helvetica Neue"/>
          <w:color w:val="5B5D5E"/>
          <w:sz w:val="20"/>
          <w:szCs w:val="20"/>
        </w:rPr>
        <w:t>站点与轨道结构典型剖面</w:t>
      </w:r>
    </w:p>
    <w:p w14:paraId="1B3DF92B" w14:textId="77777777" w:rsidR="00521734" w:rsidRDefault="00521734" w:rsidP="008648CF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</w:p>
    <w:p w14:paraId="65B6D6B6" w14:textId="254C9033" w:rsidR="00C402DE" w:rsidRPr="0017406A" w:rsidRDefault="006F6632" w:rsidP="008648CF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 w:rsidRPr="0017406A">
        <w:rPr>
          <w:rFonts w:asciiTheme="majorEastAsia" w:eastAsiaTheme="majorEastAsia" w:hAnsiTheme="majorEastAsia"/>
          <w:b/>
          <w:sz w:val="24"/>
        </w:rPr>
        <w:t>三、</w:t>
      </w:r>
      <w:r w:rsidR="004104C4" w:rsidRPr="0017406A">
        <w:rPr>
          <w:rFonts w:asciiTheme="majorEastAsia" w:eastAsiaTheme="majorEastAsia" w:hAnsiTheme="majorEastAsia"/>
          <w:b/>
          <w:sz w:val="24"/>
        </w:rPr>
        <w:t>基地现状</w:t>
      </w:r>
    </w:p>
    <w:p w14:paraId="3257F004" w14:textId="03E8BB40" w:rsidR="00C402DE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>视角1:</w:t>
      </w:r>
      <w:r w:rsidRPr="0017406A">
        <w:rPr>
          <w:rFonts w:ascii="微软雅黑" w:eastAsia="微软雅黑" w:hAnsi="微软雅黑"/>
        </w:rPr>
        <w:t xml:space="preserve"> 轻轨站南出口有室外楼梯直接通向地面，但并不是主要使用的出入口。</w:t>
      </w:r>
      <w:r w:rsidR="00400358" w:rsidRPr="0017406A">
        <w:rPr>
          <w:rFonts w:ascii="微软雅黑" w:eastAsia="微软雅黑" w:hAnsi="微软雅黑"/>
        </w:rPr>
        <w:t>在到达地面后需穿过一条机动车道、停车带、一条非机动车道才能到达龙之梦前广场。</w:t>
      </w:r>
    </w:p>
    <w:p w14:paraId="4E8672C0" w14:textId="20D0FE40" w:rsidR="00521734" w:rsidRDefault="00521734" w:rsidP="00BC7DB7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/>
          <w:noProof/>
          <w:lang w:val="en-US"/>
        </w:rPr>
        <w:drawing>
          <wp:inline distT="0" distB="0" distL="0" distR="0" wp14:anchorId="0CB6ADBA" wp14:editId="7840805D">
            <wp:extent cx="5400000" cy="360653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南出口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E06D" w14:textId="77777777" w:rsidR="00521734" w:rsidRPr="0017406A" w:rsidRDefault="00521734" w:rsidP="008648CF">
      <w:pPr>
        <w:pStyle w:val="Body"/>
        <w:spacing w:line="360" w:lineRule="auto"/>
        <w:jc w:val="both"/>
        <w:rPr>
          <w:rFonts w:ascii="微软雅黑" w:eastAsia="微软雅黑" w:hAnsi="微软雅黑" w:hint="default"/>
        </w:rPr>
      </w:pPr>
    </w:p>
    <w:p w14:paraId="729F9281" w14:textId="77777777" w:rsidR="00C402DE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 xml:space="preserve">视角2: </w:t>
      </w:r>
      <w:proofErr w:type="gramStart"/>
      <w:r w:rsidRPr="0017406A">
        <w:rPr>
          <w:rFonts w:ascii="微软雅黑" w:eastAsia="微软雅黑" w:hAnsi="微软雅黑"/>
        </w:rPr>
        <w:t>轻轨站</w:t>
      </w:r>
      <w:proofErr w:type="gramEnd"/>
      <w:r w:rsidRPr="0017406A">
        <w:rPr>
          <w:rFonts w:ascii="微软雅黑" w:eastAsia="微软雅黑" w:hAnsi="微软雅黑"/>
        </w:rPr>
        <w:t>下方主要为绿化带、市政设施，部分区域由栅栏隔离管理，无法进入或穿越。</w:t>
      </w:r>
    </w:p>
    <w:p w14:paraId="16ED1EB9" w14:textId="26853014" w:rsidR="00521734" w:rsidRDefault="00521734" w:rsidP="00BC7DB7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lastRenderedPageBreak/>
        <w:drawing>
          <wp:inline distT="0" distB="0" distL="0" distR="0" wp14:anchorId="5E922C1B" wp14:editId="055E91B9">
            <wp:extent cx="5388429" cy="3598808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轨道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94" cy="360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4703" w14:textId="77777777" w:rsidR="00521734" w:rsidRPr="0017406A" w:rsidRDefault="00521734" w:rsidP="008648CF">
      <w:pPr>
        <w:pStyle w:val="Body"/>
        <w:spacing w:line="360" w:lineRule="auto"/>
        <w:jc w:val="both"/>
        <w:rPr>
          <w:rFonts w:ascii="微软雅黑" w:eastAsia="微软雅黑" w:hAnsi="微软雅黑" w:hint="default"/>
        </w:rPr>
      </w:pPr>
    </w:p>
    <w:p w14:paraId="6EC462E2" w14:textId="77777777" w:rsidR="00C402DE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 xml:space="preserve">视角3: </w:t>
      </w:r>
      <w:r w:rsidRPr="0017406A">
        <w:rPr>
          <w:rFonts w:ascii="微软雅黑" w:eastAsia="微软雅黑" w:hAnsi="微软雅黑"/>
        </w:rPr>
        <w:t>与南出口类似，北出口同样采用室外楼梯，但位置较为隐蔽，使用人数更少。楼梯西侧与住宅楼距离很近。地面划有非机动车停车区域。</w:t>
      </w:r>
    </w:p>
    <w:p w14:paraId="6A3F3499" w14:textId="20711577" w:rsidR="00521734" w:rsidRDefault="00521734" w:rsidP="00BC7DB7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 wp14:anchorId="2D5134CC" wp14:editId="630882F2">
            <wp:extent cx="5590549" cy="3733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北出口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984" cy="37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B115" w14:textId="77777777" w:rsidR="00521734" w:rsidRPr="0017406A" w:rsidRDefault="00521734" w:rsidP="008648CF">
      <w:pPr>
        <w:pStyle w:val="Body"/>
        <w:spacing w:line="360" w:lineRule="auto"/>
        <w:jc w:val="both"/>
        <w:rPr>
          <w:rFonts w:ascii="微软雅黑" w:eastAsia="微软雅黑" w:hAnsi="微软雅黑" w:hint="default"/>
        </w:rPr>
      </w:pPr>
    </w:p>
    <w:p w14:paraId="7F127A66" w14:textId="77777777" w:rsidR="00C402DE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>视角4:</w:t>
      </w:r>
      <w:r w:rsidRPr="0017406A">
        <w:rPr>
          <w:rFonts w:ascii="微软雅黑" w:eastAsia="微软雅黑" w:hAnsi="微软雅黑"/>
        </w:rPr>
        <w:t xml:space="preserve"> 北出口以南是为站点内的美食城服务的自动扶梯、楼梯出入口。</w:t>
      </w:r>
    </w:p>
    <w:p w14:paraId="15D1BCBB" w14:textId="19AB41C9" w:rsidR="00521734" w:rsidRDefault="00521734" w:rsidP="00BC7DB7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lastRenderedPageBreak/>
        <w:drawing>
          <wp:inline distT="0" distB="0" distL="0" distR="0" wp14:anchorId="5A076CDF" wp14:editId="44AAE4BD">
            <wp:extent cx="5606143" cy="3744215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美食城入口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651" cy="375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F110" w14:textId="77777777" w:rsidR="00521734" w:rsidRPr="0017406A" w:rsidRDefault="00521734" w:rsidP="008648CF">
      <w:pPr>
        <w:pStyle w:val="Body"/>
        <w:spacing w:line="360" w:lineRule="auto"/>
        <w:jc w:val="both"/>
        <w:rPr>
          <w:rFonts w:ascii="微软雅黑" w:eastAsia="微软雅黑" w:hAnsi="微软雅黑" w:hint="default"/>
        </w:rPr>
      </w:pPr>
    </w:p>
    <w:p w14:paraId="02EE9677" w14:textId="77777777" w:rsidR="00C402DE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>视角5:</w:t>
      </w:r>
      <w:r w:rsidRPr="0017406A">
        <w:rPr>
          <w:rFonts w:ascii="微软雅黑" w:eastAsia="微软雅黑" w:hAnsi="微软雅黑"/>
        </w:rPr>
        <w:t xml:space="preserve"> 在美食城出入口下方，设有运营多条公交线路的站点和非机动车停车区域。因为位于桥下，公交站点环境阴暗，空间逼仄，使用感受欠佳。</w:t>
      </w:r>
    </w:p>
    <w:p w14:paraId="37EA0EA5" w14:textId="4D764BDA" w:rsidR="00521734" w:rsidRDefault="00521734" w:rsidP="00BC7DB7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 wp14:anchorId="4E48D63E" wp14:editId="392E74EE">
            <wp:extent cx="5671457" cy="3787836"/>
            <wp:effectExtent l="0" t="0" r="571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公交车站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296" cy="37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67B5" w14:textId="77777777" w:rsidR="00521734" w:rsidRPr="0017406A" w:rsidRDefault="00521734" w:rsidP="008648CF">
      <w:pPr>
        <w:pStyle w:val="Body"/>
        <w:spacing w:line="360" w:lineRule="auto"/>
        <w:jc w:val="both"/>
        <w:rPr>
          <w:rFonts w:ascii="微软雅黑" w:eastAsia="微软雅黑" w:hAnsi="微软雅黑" w:hint="default"/>
        </w:rPr>
      </w:pPr>
    </w:p>
    <w:p w14:paraId="160F0D01" w14:textId="77777777" w:rsidR="00C402DE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lastRenderedPageBreak/>
        <w:t xml:space="preserve">视角6: </w:t>
      </w:r>
      <w:proofErr w:type="gramStart"/>
      <w:r w:rsidRPr="0017406A">
        <w:rPr>
          <w:rFonts w:ascii="微软雅黑" w:eastAsia="微软雅黑" w:hAnsi="微软雅黑"/>
        </w:rPr>
        <w:t>轨交站下</w:t>
      </w:r>
      <w:proofErr w:type="gramEnd"/>
      <w:r w:rsidRPr="0017406A">
        <w:rPr>
          <w:rFonts w:ascii="微软雅黑" w:eastAsia="微软雅黑" w:hAnsi="微软雅黑"/>
        </w:rPr>
        <w:t>划有人行横道线，可以从同</w:t>
      </w:r>
      <w:proofErr w:type="gramStart"/>
      <w:r w:rsidRPr="0017406A">
        <w:rPr>
          <w:rFonts w:ascii="微软雅黑" w:eastAsia="微软雅黑" w:hAnsi="微软雅黑"/>
        </w:rPr>
        <w:t>煌</w:t>
      </w:r>
      <w:proofErr w:type="gramEnd"/>
      <w:r w:rsidRPr="0017406A">
        <w:rPr>
          <w:rFonts w:ascii="微软雅黑" w:eastAsia="微软雅黑" w:hAnsi="微软雅黑"/>
        </w:rPr>
        <w:t>路穿越到虹口足球场。</w:t>
      </w:r>
    </w:p>
    <w:p w14:paraId="2940AA3B" w14:textId="4994E2BB" w:rsidR="00521734" w:rsidRDefault="00521734" w:rsidP="00BC7DB7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 wp14:anchorId="6FCB0D54" wp14:editId="12CA093F">
            <wp:extent cx="5731117" cy="3827682"/>
            <wp:effectExtent l="0" t="0" r="317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人行道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31" cy="38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E08B" w14:textId="77777777" w:rsidR="00521734" w:rsidRPr="0017406A" w:rsidRDefault="00521734" w:rsidP="008648CF">
      <w:pPr>
        <w:pStyle w:val="Body"/>
        <w:spacing w:line="360" w:lineRule="auto"/>
        <w:jc w:val="both"/>
        <w:rPr>
          <w:rFonts w:ascii="微软雅黑" w:eastAsia="微软雅黑" w:hAnsi="微软雅黑" w:hint="default"/>
        </w:rPr>
      </w:pPr>
    </w:p>
    <w:p w14:paraId="5A729490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>视角7:</w:t>
      </w:r>
      <w:r w:rsidRPr="0017406A">
        <w:rPr>
          <w:rFonts w:ascii="微软雅黑" w:eastAsia="微软雅黑" w:hAnsi="微软雅黑"/>
        </w:rPr>
        <w:t xml:space="preserve"> </w:t>
      </w:r>
      <w:proofErr w:type="gramStart"/>
      <w:r w:rsidRPr="0017406A">
        <w:rPr>
          <w:rFonts w:ascii="微软雅黑" w:eastAsia="微软雅黑" w:hAnsi="微软雅黑"/>
        </w:rPr>
        <w:t>轨交站</w:t>
      </w:r>
      <w:proofErr w:type="gramEnd"/>
      <w:r w:rsidRPr="0017406A">
        <w:rPr>
          <w:rFonts w:ascii="微软雅黑" w:eastAsia="微软雅黑" w:hAnsi="微软雅黑"/>
        </w:rPr>
        <w:t>西侧的人行道目前主要用作非机动车停车区域，有大量共享单车、外卖助动车停放。</w:t>
      </w:r>
    </w:p>
    <w:p w14:paraId="78BA47CD" w14:textId="103D0C44" w:rsidR="00C402DE" w:rsidRDefault="00521734" w:rsidP="00BC7DB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 wp14:anchorId="110C547D" wp14:editId="1B51A574">
            <wp:extent cx="5584372" cy="3729674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自行车停车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694" cy="373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3340" w14:textId="77777777" w:rsidR="00521734" w:rsidRDefault="00521734" w:rsidP="008648CF">
      <w:pPr>
        <w:pStyle w:val="Body"/>
        <w:spacing w:line="360" w:lineRule="auto"/>
        <w:jc w:val="both"/>
        <w:rPr>
          <w:rFonts w:ascii="PingFang SC Light" w:eastAsia="PingFang SC Light" w:hAnsi="PingFang SC Light" w:cs="PingFang SC Light" w:hint="default"/>
        </w:rPr>
      </w:pPr>
    </w:p>
    <w:p w14:paraId="1D618E78" w14:textId="02C5D228" w:rsidR="00C402DE" w:rsidRPr="0017406A" w:rsidRDefault="006F6632" w:rsidP="008648CF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 w:rsidRPr="0017406A">
        <w:rPr>
          <w:rFonts w:asciiTheme="majorEastAsia" w:eastAsiaTheme="majorEastAsia" w:hAnsiTheme="majorEastAsia"/>
          <w:b/>
          <w:sz w:val="24"/>
        </w:rPr>
        <w:t>四、</w:t>
      </w:r>
      <w:r w:rsidR="004104C4" w:rsidRPr="0017406A">
        <w:rPr>
          <w:rFonts w:asciiTheme="majorEastAsia" w:eastAsiaTheme="majorEastAsia" w:hAnsiTheme="majorEastAsia"/>
          <w:b/>
          <w:sz w:val="24"/>
        </w:rPr>
        <w:t>设计原则</w:t>
      </w:r>
    </w:p>
    <w:p w14:paraId="42A342F9" w14:textId="2719F010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proofErr w:type="gramStart"/>
      <w:r w:rsidRPr="0017406A">
        <w:rPr>
          <w:rFonts w:ascii="微软雅黑" w:eastAsia="微软雅黑" w:hAnsi="微软雅黑"/>
        </w:rPr>
        <w:t>本试点</w:t>
      </w:r>
      <w:proofErr w:type="gramEnd"/>
      <w:r w:rsidRPr="0017406A">
        <w:rPr>
          <w:rFonts w:ascii="微软雅黑" w:eastAsia="微软雅黑" w:hAnsi="微软雅黑"/>
        </w:rPr>
        <w:t>方案征集需把握以下几个设计原</w:t>
      </w:r>
      <w:bookmarkStart w:id="0" w:name="_GoBack"/>
      <w:bookmarkEnd w:id="0"/>
      <w:r w:rsidRPr="0017406A">
        <w:rPr>
          <w:rFonts w:ascii="微软雅黑" w:eastAsia="微软雅黑" w:hAnsi="微软雅黑"/>
        </w:rPr>
        <w:t>则：</w:t>
      </w:r>
    </w:p>
    <w:p w14:paraId="0C4D18D6" w14:textId="65BABC83" w:rsidR="00C402DE" w:rsidRPr="00455B73" w:rsidRDefault="009E33B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455B73">
        <w:rPr>
          <w:rFonts w:ascii="微软雅黑" w:eastAsia="微软雅黑" w:hAnsi="微软雅黑"/>
          <w:b/>
        </w:rPr>
        <w:t>1、</w:t>
      </w:r>
      <w:r w:rsidR="004104C4" w:rsidRPr="00455B73">
        <w:rPr>
          <w:rFonts w:ascii="微软雅黑" w:eastAsia="微软雅黑" w:hAnsi="微软雅黑"/>
          <w:b/>
        </w:rPr>
        <w:t>经济实用：</w:t>
      </w:r>
    </w:p>
    <w:p w14:paraId="04BE7D12" w14:textId="7ABD4C15" w:rsidR="00C402DE" w:rsidRDefault="00715B99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715B99">
        <w:rPr>
          <w:rFonts w:ascii="微软雅黑" w:eastAsia="微软雅黑" w:hAnsi="微软雅黑"/>
        </w:rPr>
        <w:t>征集方案要求操作性强、功能适宜，并对建设经费进行合理控制。如果要对道路红线进行调整，必须提供理由和合理策略；在不影响高架结构构件的情况下，可通过拆除、改建或加建既有构筑物的方式，适当增加必要的公益性便民服务设施，其他建筑不建议新建。</w:t>
      </w:r>
    </w:p>
    <w:p w14:paraId="6DC8372D" w14:textId="0DB5BC2C" w:rsidR="00455B73" w:rsidRPr="00455B73" w:rsidRDefault="00455B7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455B73">
        <w:rPr>
          <w:rFonts w:ascii="微软雅黑" w:eastAsia="微软雅黑" w:hAnsi="微软雅黑"/>
          <w:b/>
        </w:rPr>
        <w:t>2、安全</w:t>
      </w:r>
      <w:r w:rsidR="0017404C">
        <w:rPr>
          <w:rFonts w:ascii="微软雅黑" w:eastAsia="微软雅黑" w:hAnsi="微软雅黑"/>
          <w:b/>
        </w:rPr>
        <w:t>便捷</w:t>
      </w:r>
      <w:r w:rsidRPr="00455B73">
        <w:rPr>
          <w:rFonts w:ascii="微软雅黑" w:eastAsia="微软雅黑" w:hAnsi="微软雅黑"/>
          <w:b/>
        </w:rPr>
        <w:t>：</w:t>
      </w:r>
    </w:p>
    <w:p w14:paraId="4BAAB8B4" w14:textId="06708B28" w:rsidR="00455B73" w:rsidRPr="0017406A" w:rsidRDefault="00715B99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715B99">
        <w:rPr>
          <w:rFonts w:ascii="微软雅黑" w:eastAsia="微软雅黑" w:hAnsi="微软雅黑"/>
        </w:rPr>
        <w:t>桥下空间设计需特别注意安全合理，关注场所活动的安全性、对城市交通的影响、桥体结构的稳固性等方面；加强交通组织便捷顺畅，对慢行方式更为友好，引导系统清晰明了。</w:t>
      </w:r>
    </w:p>
    <w:p w14:paraId="1AD0DF47" w14:textId="50750A68" w:rsidR="00C402DE" w:rsidRPr="00455B73" w:rsidRDefault="00455B7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t>3</w:t>
      </w:r>
      <w:r w:rsidR="009E33B3" w:rsidRPr="00455B73">
        <w:rPr>
          <w:rFonts w:ascii="微软雅黑" w:eastAsia="微软雅黑" w:hAnsi="微软雅黑"/>
          <w:b/>
        </w:rPr>
        <w:t>、</w:t>
      </w:r>
      <w:r w:rsidR="004104C4" w:rsidRPr="00455B73">
        <w:rPr>
          <w:rFonts w:ascii="微软雅黑" w:eastAsia="微软雅黑" w:hAnsi="微软雅黑"/>
          <w:b/>
        </w:rPr>
        <w:t>环境友好：</w:t>
      </w:r>
    </w:p>
    <w:p w14:paraId="5A12620F" w14:textId="2582AC8C" w:rsidR="00C402DE" w:rsidRPr="0017406A" w:rsidRDefault="00715B99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715B99">
        <w:rPr>
          <w:rFonts w:ascii="微软雅黑" w:eastAsia="微软雅黑" w:hAnsi="微软雅黑"/>
        </w:rPr>
        <w:t>征集方案中鼓励运用绿化、景观、照明、标识、铺装、城市家具等</w:t>
      </w:r>
      <w:proofErr w:type="gramStart"/>
      <w:r w:rsidRPr="00715B99">
        <w:rPr>
          <w:rFonts w:ascii="微软雅黑" w:eastAsia="微软雅黑" w:hAnsi="微软雅黑"/>
        </w:rPr>
        <w:t>轻质化</w:t>
      </w:r>
      <w:proofErr w:type="gramEnd"/>
      <w:r w:rsidRPr="00715B99">
        <w:rPr>
          <w:rFonts w:ascii="微软雅黑" w:eastAsia="微软雅黑" w:hAnsi="微软雅黑"/>
        </w:rPr>
        <w:t>的手段点亮“灰色空间”，带来更好的人居环境。</w:t>
      </w:r>
    </w:p>
    <w:p w14:paraId="0E48CD4B" w14:textId="748A4C7B" w:rsidR="00C402DE" w:rsidRPr="00455B73" w:rsidRDefault="001F738A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t>4</w:t>
      </w:r>
      <w:r w:rsidR="009E33B3" w:rsidRPr="00455B73"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/>
          <w:b/>
        </w:rPr>
        <w:t>凸显特色</w:t>
      </w:r>
      <w:r w:rsidR="004104C4" w:rsidRPr="00455B73">
        <w:rPr>
          <w:rFonts w:ascii="微软雅黑" w:eastAsia="微软雅黑" w:hAnsi="微软雅黑"/>
          <w:b/>
        </w:rPr>
        <w:t>：</w:t>
      </w:r>
    </w:p>
    <w:p w14:paraId="3773D6CD" w14:textId="7C356C74" w:rsidR="00F3687F" w:rsidRDefault="00715B99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715B99">
        <w:rPr>
          <w:rFonts w:ascii="微软雅黑" w:eastAsia="微软雅黑" w:hAnsi="微软雅黑"/>
        </w:rPr>
        <w:t>征集方案期望通过公共艺术设计、视觉设计等方式，加强与地区文化、居民生活相呼应。</w:t>
      </w:r>
    </w:p>
    <w:p w14:paraId="68EE7C09" w14:textId="77777777" w:rsidR="00C402DE" w:rsidRPr="006F6632" w:rsidRDefault="00C402DE" w:rsidP="008648CF">
      <w:pPr>
        <w:pStyle w:val="Body"/>
        <w:spacing w:line="360" w:lineRule="auto"/>
        <w:ind w:firstLineChars="193" w:firstLine="425"/>
        <w:jc w:val="both"/>
        <w:rPr>
          <w:rFonts w:eastAsia="PingFang SC Light" w:hint="default"/>
        </w:rPr>
      </w:pPr>
    </w:p>
    <w:p w14:paraId="20194268" w14:textId="3F5B347D" w:rsidR="00C402DE" w:rsidRPr="0017406A" w:rsidRDefault="006F6632" w:rsidP="008648CF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 w:rsidRPr="0017406A">
        <w:rPr>
          <w:rFonts w:asciiTheme="majorEastAsia" w:eastAsiaTheme="majorEastAsia" w:hAnsiTheme="majorEastAsia"/>
          <w:b/>
          <w:sz w:val="24"/>
        </w:rPr>
        <w:t>五、</w:t>
      </w:r>
      <w:r w:rsidR="004104C4" w:rsidRPr="0017406A">
        <w:rPr>
          <w:rFonts w:asciiTheme="majorEastAsia" w:eastAsiaTheme="majorEastAsia" w:hAnsiTheme="majorEastAsia"/>
          <w:b/>
          <w:sz w:val="24"/>
        </w:rPr>
        <w:t>设计内容</w:t>
      </w:r>
    </w:p>
    <w:p w14:paraId="04156128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本次试点包含两个范围的设计任务：</w:t>
      </w:r>
    </w:p>
    <w:p w14:paraId="433CF90C" w14:textId="6A70FCB2" w:rsidR="00C402DE" w:rsidRPr="009E33B3" w:rsidRDefault="009E33B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9E33B3">
        <w:rPr>
          <w:rFonts w:ascii="微软雅黑" w:eastAsia="微软雅黑" w:hAnsi="微软雅黑"/>
          <w:b/>
        </w:rPr>
        <w:t>1、</w:t>
      </w:r>
      <w:r w:rsidR="004104C4" w:rsidRPr="009E33B3">
        <w:rPr>
          <w:rFonts w:ascii="微软雅黑" w:eastAsia="微软雅黑" w:hAnsi="微软雅黑"/>
          <w:b/>
        </w:rPr>
        <w:t>整体研究范围任务</w:t>
      </w:r>
    </w:p>
    <w:p w14:paraId="152B2012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轨道交通3号线虹口足球站南起花园路、北至虹口游泳池段，总长度约300米。</w:t>
      </w:r>
    </w:p>
    <w:p w14:paraId="327A1CCB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结合试点周边业态、人群、空间特色等，对该范围内的高架下空间的远期发展提出指导性建议，为建设部门拓展思路、有序推进高架下空间的持续更新利用，将高架下空间作为弥合不同地块功能、服务不同使用人群的有效手段。其中对人流的疏导、与周边空间的衔接是关注重点。</w:t>
      </w:r>
    </w:p>
    <w:p w14:paraId="11AF71D0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设计内容包括但不限于全线功能布局、空间使用方式、与周边环境衔接关系、绿化布局、交通流线组织、配套服务设施布局等。</w:t>
      </w:r>
    </w:p>
    <w:p w14:paraId="12ADF8C7" w14:textId="77777777" w:rsidR="00C402DE" w:rsidRPr="0017406A" w:rsidRDefault="00C402DE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14:paraId="372DB752" w14:textId="43E8C0CC" w:rsidR="00C402DE" w:rsidRPr="009E33B3" w:rsidRDefault="009E33B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9E33B3">
        <w:rPr>
          <w:rFonts w:ascii="微软雅黑" w:eastAsia="微软雅黑" w:hAnsi="微软雅黑"/>
          <w:b/>
        </w:rPr>
        <w:lastRenderedPageBreak/>
        <w:t>2、</w:t>
      </w:r>
      <w:r w:rsidR="004104C4" w:rsidRPr="009E33B3">
        <w:rPr>
          <w:rFonts w:ascii="微软雅黑" w:eastAsia="微软雅黑" w:hAnsi="微软雅黑"/>
          <w:b/>
        </w:rPr>
        <w:t>重点设计范围任务</w:t>
      </w:r>
    </w:p>
    <w:p w14:paraId="6FDE9423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虹口足球场站南侧出入口及邻近的桥下空间，长度约100米，宽度约25米。</w:t>
      </w:r>
    </w:p>
    <w:p w14:paraId="48E5EA44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虹口足球场站北侧出入口及邻近的桥下空间，长度约50米，宽度约20米。</w:t>
      </w:r>
    </w:p>
    <w:p w14:paraId="37590DBE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重点设计方案需与整体研究思路一致，在此基础上结合范围内现有高架下空间及场地、现有的设备用房、景观绿化等条件，提出创新性与操作性并重的改造方案，旨在指导近期建设实施。</w:t>
      </w:r>
    </w:p>
    <w:p w14:paraId="6E710019" w14:textId="0603D491" w:rsidR="00C402DE" w:rsidRPr="0017406A" w:rsidRDefault="009E33B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>（1）</w:t>
      </w:r>
      <w:r w:rsidR="004104C4" w:rsidRPr="009E33B3">
        <w:rPr>
          <w:rFonts w:ascii="微软雅黑" w:eastAsia="微软雅黑" w:hAnsi="微软雅黑"/>
          <w:b/>
        </w:rPr>
        <w:t>交通组织设计：</w:t>
      </w:r>
      <w:r w:rsidR="004104C4" w:rsidRPr="0017406A">
        <w:rPr>
          <w:rFonts w:ascii="微软雅黑" w:eastAsia="微软雅黑" w:hAnsi="微软雅黑"/>
        </w:rPr>
        <w:t>合理组织人行、非机动车、机动车流线，对公交站台的设置位置给予充分考虑；优化站点周边非机动车的停放方式。</w:t>
      </w:r>
    </w:p>
    <w:p w14:paraId="001DA344" w14:textId="58C53E90" w:rsidR="00C402DE" w:rsidRPr="0017406A" w:rsidRDefault="009E33B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>（2）</w:t>
      </w:r>
      <w:r w:rsidR="004104C4" w:rsidRPr="009E33B3">
        <w:rPr>
          <w:rFonts w:ascii="微软雅黑" w:eastAsia="微软雅黑" w:hAnsi="微软雅黑"/>
          <w:b/>
        </w:rPr>
        <w:t>视觉引导设计：</w:t>
      </w:r>
      <w:r w:rsidR="004104C4" w:rsidRPr="0017406A">
        <w:rPr>
          <w:rFonts w:ascii="微软雅黑" w:eastAsia="微软雅黑" w:hAnsi="微软雅黑"/>
        </w:rPr>
        <w:t>在充分理解站点周边人流动线与使用方式的基础上，通过视觉系统的引导，使使用者能快速地到达目的地，并且能适应赛事、演唱会等特殊情况。</w:t>
      </w:r>
    </w:p>
    <w:p w14:paraId="0C0D15A3" w14:textId="08994088" w:rsidR="00C402DE" w:rsidRPr="0017406A" w:rsidRDefault="009E33B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>（3）</w:t>
      </w:r>
      <w:r w:rsidR="004104C4" w:rsidRPr="009E33B3">
        <w:rPr>
          <w:rFonts w:ascii="微软雅黑" w:eastAsia="微软雅黑" w:hAnsi="微软雅黑"/>
          <w:b/>
        </w:rPr>
        <w:t>绿化景观设计：</w:t>
      </w:r>
      <w:r w:rsidR="004104C4" w:rsidRPr="0017406A">
        <w:rPr>
          <w:rFonts w:ascii="微软雅黑" w:eastAsia="微软雅黑" w:hAnsi="微软雅黑"/>
        </w:rPr>
        <w:t>体现生态环境友好的绿化种植设计，体现空间特色、地域文化特色的景观设计，如铺地、灯光照明、街道家具或其他公共环境艺术。</w:t>
      </w:r>
    </w:p>
    <w:p w14:paraId="6D03CEF4" w14:textId="0C96392E" w:rsidR="00C402DE" w:rsidRPr="0017406A" w:rsidRDefault="009E33B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9E33B3">
        <w:rPr>
          <w:rFonts w:ascii="微软雅黑" w:eastAsia="微软雅黑" w:hAnsi="微软雅黑"/>
          <w:b/>
        </w:rPr>
        <w:t>（4）</w:t>
      </w:r>
      <w:r w:rsidR="004104C4" w:rsidRPr="009E33B3">
        <w:rPr>
          <w:rFonts w:ascii="微软雅黑" w:eastAsia="微软雅黑" w:hAnsi="微软雅黑"/>
          <w:b/>
        </w:rPr>
        <w:t>基础设施服务设计：</w:t>
      </w:r>
      <w:r w:rsidR="004104C4" w:rsidRPr="0017406A">
        <w:rPr>
          <w:rFonts w:ascii="微软雅黑" w:eastAsia="微软雅黑" w:hAnsi="微软雅黑"/>
        </w:rPr>
        <w:t>为周边人群便民服务等配套设施。需考虑不同时段、不同人群使用需求的差异与同质，尽可能使桥下空间得到时段与空间上的充分利用。</w:t>
      </w:r>
    </w:p>
    <w:p w14:paraId="46274C75" w14:textId="77777777" w:rsidR="00C402DE" w:rsidRDefault="00C402DE" w:rsidP="008648CF">
      <w:pPr>
        <w:pStyle w:val="Body"/>
        <w:spacing w:line="360" w:lineRule="auto"/>
        <w:jc w:val="both"/>
        <w:rPr>
          <w:rFonts w:ascii="PingFang SC Light" w:eastAsia="PingFang SC Light" w:hAnsi="PingFang SC Light" w:cs="PingFang SC Light" w:hint="default"/>
        </w:rPr>
      </w:pPr>
    </w:p>
    <w:p w14:paraId="6CAD0FB9" w14:textId="0B5B6D01" w:rsidR="00C402DE" w:rsidRPr="0017406A" w:rsidRDefault="006F6632" w:rsidP="008648CF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 w:rsidRPr="0017406A">
        <w:rPr>
          <w:rFonts w:asciiTheme="majorEastAsia" w:eastAsiaTheme="majorEastAsia" w:hAnsiTheme="majorEastAsia"/>
          <w:b/>
          <w:sz w:val="24"/>
        </w:rPr>
        <w:t>六、</w:t>
      </w:r>
      <w:r w:rsidR="004104C4" w:rsidRPr="0017406A">
        <w:rPr>
          <w:rFonts w:asciiTheme="majorEastAsia" w:eastAsiaTheme="majorEastAsia" w:hAnsiTheme="majorEastAsia"/>
          <w:b/>
          <w:sz w:val="24"/>
        </w:rPr>
        <w:t>提交要求</w:t>
      </w:r>
    </w:p>
    <w:p w14:paraId="464129A3" w14:textId="25E599E8" w:rsidR="00C402DE" w:rsidRPr="009E33B3" w:rsidRDefault="009E33B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9E33B3">
        <w:rPr>
          <w:rFonts w:ascii="微软雅黑" w:eastAsia="微软雅黑" w:hAnsi="微软雅黑"/>
          <w:b/>
        </w:rPr>
        <w:t>1、</w:t>
      </w:r>
      <w:r w:rsidR="004104C4" w:rsidRPr="009E33B3">
        <w:rPr>
          <w:rFonts w:ascii="微软雅黑" w:eastAsia="微软雅黑" w:hAnsi="微软雅黑"/>
          <w:b/>
        </w:rPr>
        <w:t>图纸要求：</w:t>
      </w:r>
    </w:p>
    <w:p w14:paraId="4CE72EC0" w14:textId="3C1BA7A6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2-3张横版A1图纸（尺寸594mm</w:t>
      </w:r>
      <w:r w:rsidRPr="0017406A">
        <w:rPr>
          <w:rFonts w:ascii="微软雅黑" w:eastAsia="微软雅黑" w:hAnsi="微软雅黑" w:hint="default"/>
        </w:rPr>
        <w:t>×</w:t>
      </w:r>
      <w:r w:rsidRPr="0017406A">
        <w:rPr>
          <w:rFonts w:ascii="微软雅黑" w:eastAsia="微软雅黑" w:hAnsi="微软雅黑"/>
        </w:rPr>
        <w:t>841mm，电子文件jpg或pdf格式，精度300dpi），研究范围和重点设计范围至少各占一张。</w:t>
      </w:r>
    </w:p>
    <w:p w14:paraId="5BF9621A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版面内容包括但不限于各类分析图、平面图、立面图、剖面图、轴测图、效果图等，辅以文字说明。可自选体现重点设计范围内的重要节点做放大平面，比例为1:50；其他设计图纸比例不限，要求能清晰、完整地表达设计意图为原则，由设计师和艺术家自行确定。</w:t>
      </w:r>
    </w:p>
    <w:p w14:paraId="5F614F2C" w14:textId="735D667D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其他文字、汇报、演示等文件可作为附件提供。</w:t>
      </w:r>
    </w:p>
    <w:p w14:paraId="6131AC50" w14:textId="77777777" w:rsidR="006F6632" w:rsidRPr="0017406A" w:rsidRDefault="006F6632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14:paraId="3327316A" w14:textId="71B381F1" w:rsidR="00C402DE" w:rsidRPr="009E33B3" w:rsidRDefault="009E33B3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9E33B3">
        <w:rPr>
          <w:rFonts w:ascii="微软雅黑" w:eastAsia="微软雅黑" w:hAnsi="微软雅黑"/>
          <w:b/>
        </w:rPr>
        <w:t>2、</w:t>
      </w:r>
      <w:r w:rsidR="004104C4" w:rsidRPr="009E33B3">
        <w:rPr>
          <w:rFonts w:ascii="微软雅黑" w:eastAsia="微软雅黑" w:hAnsi="微软雅黑"/>
          <w:b/>
        </w:rPr>
        <w:t>文字说明要求：</w:t>
      </w:r>
    </w:p>
    <w:p w14:paraId="5C62BB2C" w14:textId="0C03278D" w:rsidR="00C402DE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说明宜图文并茂，包含项目建设造价预算，采用中文，度量单位采用国际通用的公制单位。</w:t>
      </w:r>
    </w:p>
    <w:p w14:paraId="38AEB711" w14:textId="77777777" w:rsidR="00201F44" w:rsidRPr="0017406A" w:rsidRDefault="00201F4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14:paraId="52B36DC9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lastRenderedPageBreak/>
        <w:t>*方案提交成果需同时包含任务</w:t>
      </w:r>
      <w:proofErr w:type="gramStart"/>
      <w:r w:rsidRPr="0017406A">
        <w:rPr>
          <w:rFonts w:ascii="微软雅黑" w:eastAsia="微软雅黑" w:hAnsi="微软雅黑"/>
        </w:rPr>
        <w:t>一</w:t>
      </w:r>
      <w:proofErr w:type="gramEnd"/>
      <w:r w:rsidRPr="0017406A">
        <w:rPr>
          <w:rFonts w:ascii="微软雅黑" w:eastAsia="微软雅黑" w:hAnsi="微软雅黑" w:hint="default"/>
        </w:rPr>
        <w:t>“</w:t>
      </w:r>
      <w:r w:rsidRPr="0017406A">
        <w:rPr>
          <w:rFonts w:ascii="微软雅黑" w:eastAsia="微软雅黑" w:hAnsi="微软雅黑"/>
        </w:rPr>
        <w:t>整体研究</w:t>
      </w:r>
      <w:r w:rsidRPr="0017406A">
        <w:rPr>
          <w:rFonts w:ascii="微软雅黑" w:eastAsia="微软雅黑" w:hAnsi="微软雅黑" w:hint="default"/>
        </w:rPr>
        <w:t>”</w:t>
      </w:r>
      <w:r w:rsidRPr="0017406A">
        <w:rPr>
          <w:rFonts w:ascii="微软雅黑" w:eastAsia="微软雅黑" w:hAnsi="微软雅黑"/>
        </w:rPr>
        <w:t>与任务二</w:t>
      </w:r>
      <w:r w:rsidRPr="0017406A">
        <w:rPr>
          <w:rFonts w:ascii="微软雅黑" w:eastAsia="微软雅黑" w:hAnsi="微软雅黑" w:hint="default"/>
        </w:rPr>
        <w:t>“</w:t>
      </w:r>
      <w:r w:rsidRPr="0017406A">
        <w:rPr>
          <w:rFonts w:ascii="微软雅黑" w:eastAsia="微软雅黑" w:hAnsi="微软雅黑"/>
        </w:rPr>
        <w:t>重点设计</w:t>
      </w:r>
      <w:r w:rsidRPr="0017406A">
        <w:rPr>
          <w:rFonts w:ascii="微软雅黑" w:eastAsia="微软雅黑" w:hAnsi="微软雅黑" w:hint="default"/>
        </w:rPr>
        <w:t>”</w:t>
      </w:r>
      <w:r w:rsidRPr="0017406A">
        <w:rPr>
          <w:rFonts w:ascii="微软雅黑" w:eastAsia="微软雅黑" w:hAnsi="微软雅黑"/>
        </w:rPr>
        <w:t>，否则视为无效。</w:t>
      </w:r>
    </w:p>
    <w:p w14:paraId="4887A56A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*方案评审将根据提交作品情况，确定具体方式。</w:t>
      </w:r>
    </w:p>
    <w:p w14:paraId="16E1B4D8" w14:textId="77777777" w:rsidR="00C402DE" w:rsidRDefault="00C402DE" w:rsidP="008648CF">
      <w:pPr>
        <w:pStyle w:val="Body"/>
        <w:spacing w:line="360" w:lineRule="auto"/>
        <w:jc w:val="both"/>
        <w:rPr>
          <w:rFonts w:ascii="PingFang SC Medium" w:eastAsia="PingFang SC Medium" w:hAnsi="PingFang SC Medium" w:cs="PingFang SC Medium" w:hint="default"/>
        </w:rPr>
      </w:pPr>
    </w:p>
    <w:p w14:paraId="6BE37412" w14:textId="4E2689FD" w:rsidR="00C402DE" w:rsidRPr="0017406A" w:rsidRDefault="006F6632" w:rsidP="008648CF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 w:rsidRPr="0017406A">
        <w:rPr>
          <w:rFonts w:asciiTheme="majorEastAsia" w:eastAsiaTheme="majorEastAsia" w:hAnsiTheme="majorEastAsia"/>
          <w:b/>
          <w:sz w:val="24"/>
        </w:rPr>
        <w:t>七、</w:t>
      </w:r>
      <w:r w:rsidR="004104C4" w:rsidRPr="0017406A">
        <w:rPr>
          <w:rFonts w:asciiTheme="majorEastAsia" w:eastAsiaTheme="majorEastAsia" w:hAnsiTheme="majorEastAsia"/>
          <w:b/>
          <w:sz w:val="24"/>
        </w:rPr>
        <w:t>报名及整体工作安排</w:t>
      </w:r>
    </w:p>
    <w:p w14:paraId="0FE8B9D3" w14:textId="0F4A4263" w:rsidR="00C402DE" w:rsidRPr="001F6535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1F6535">
        <w:rPr>
          <w:rFonts w:ascii="微软雅黑" w:eastAsia="微软雅黑" w:hAnsi="微软雅黑"/>
          <w:b/>
        </w:rPr>
        <w:t>报名截止时间：</w:t>
      </w:r>
      <w:r w:rsidR="006F6632" w:rsidRPr="007F524A">
        <w:rPr>
          <w:rFonts w:ascii="微软雅黑" w:eastAsia="微软雅黑" w:hAnsi="微软雅黑"/>
          <w:b/>
          <w:highlight w:val="yellow"/>
        </w:rPr>
        <w:t>6</w:t>
      </w:r>
      <w:r w:rsidRPr="007F524A">
        <w:rPr>
          <w:rFonts w:ascii="微软雅黑" w:eastAsia="微软雅黑" w:hAnsi="微软雅黑"/>
          <w:b/>
          <w:highlight w:val="yellow"/>
        </w:rPr>
        <w:t>月</w:t>
      </w:r>
      <w:r w:rsidR="006F6632" w:rsidRPr="007F524A">
        <w:rPr>
          <w:rFonts w:ascii="微软雅黑" w:eastAsia="微软雅黑" w:hAnsi="微软雅黑"/>
          <w:b/>
          <w:highlight w:val="yellow"/>
        </w:rPr>
        <w:t>30</w:t>
      </w:r>
      <w:r w:rsidRPr="007F524A">
        <w:rPr>
          <w:rFonts w:ascii="微软雅黑" w:eastAsia="微软雅黑" w:hAnsi="微软雅黑"/>
          <w:b/>
          <w:highlight w:val="yellow"/>
        </w:rPr>
        <w:t xml:space="preserve">日 </w:t>
      </w:r>
      <w:r w:rsidR="006F6632" w:rsidRPr="007F524A">
        <w:rPr>
          <w:rFonts w:ascii="微软雅黑" w:eastAsia="微软雅黑" w:hAnsi="微软雅黑"/>
          <w:b/>
          <w:highlight w:val="yellow"/>
        </w:rPr>
        <w:t>17</w:t>
      </w:r>
      <w:r w:rsidRPr="007F524A">
        <w:rPr>
          <w:rFonts w:ascii="微软雅黑" w:eastAsia="微软雅黑" w:hAnsi="微软雅黑"/>
          <w:b/>
          <w:highlight w:val="yellow"/>
        </w:rPr>
        <w:t>:</w:t>
      </w:r>
      <w:r w:rsidR="006F6632" w:rsidRPr="007F524A">
        <w:rPr>
          <w:rFonts w:ascii="微软雅黑" w:eastAsia="微软雅黑" w:hAnsi="微软雅黑"/>
          <w:b/>
          <w:highlight w:val="yellow"/>
        </w:rPr>
        <w:t>00</w:t>
      </w:r>
    </w:p>
    <w:p w14:paraId="6E2D7AB0" w14:textId="586B3519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F6535">
        <w:rPr>
          <w:rFonts w:ascii="微软雅黑" w:eastAsia="微软雅黑" w:hAnsi="微软雅黑"/>
          <w:b/>
        </w:rPr>
        <w:t>报名方式：</w:t>
      </w:r>
      <w:r w:rsidRPr="0017406A">
        <w:rPr>
          <w:rFonts w:ascii="微软雅黑" w:eastAsia="微软雅黑" w:hAnsi="微软雅黑"/>
        </w:rPr>
        <w:t>编辑信息</w:t>
      </w:r>
      <w:r w:rsidRPr="007F524A">
        <w:rPr>
          <w:rFonts w:ascii="微软雅黑" w:eastAsia="微软雅黑" w:hAnsi="微软雅黑" w:hint="default"/>
          <w:b/>
          <w:highlight w:val="yellow"/>
        </w:rPr>
        <w:t>“</w:t>
      </w:r>
      <w:r w:rsidRPr="007F524A">
        <w:rPr>
          <w:rFonts w:ascii="微软雅黑" w:eastAsia="微软雅黑" w:hAnsi="微软雅黑"/>
          <w:b/>
          <w:highlight w:val="yellow"/>
        </w:rPr>
        <w:t>姓名+职业+</w:t>
      </w:r>
      <w:r w:rsidR="006F6632" w:rsidRPr="007F524A">
        <w:rPr>
          <w:rFonts w:ascii="微软雅黑" w:eastAsia="微软雅黑" w:hAnsi="微软雅黑"/>
          <w:b/>
          <w:highlight w:val="yellow"/>
        </w:rPr>
        <w:t>单位+</w:t>
      </w:r>
      <w:r w:rsidRPr="007F524A">
        <w:rPr>
          <w:rFonts w:ascii="微软雅黑" w:eastAsia="微软雅黑" w:hAnsi="微软雅黑"/>
          <w:b/>
          <w:highlight w:val="yellow"/>
        </w:rPr>
        <w:t>电话+邮箱+所选试点</w:t>
      </w:r>
      <w:r w:rsidRPr="007F524A">
        <w:rPr>
          <w:rFonts w:ascii="微软雅黑" w:eastAsia="微软雅黑" w:hAnsi="微软雅黑" w:hint="default"/>
          <w:b/>
          <w:highlight w:val="yellow"/>
        </w:rPr>
        <w:t>”</w:t>
      </w:r>
      <w:r w:rsidRPr="0017406A">
        <w:rPr>
          <w:rFonts w:ascii="微软雅黑" w:eastAsia="微软雅黑" w:hAnsi="微软雅黑"/>
        </w:rPr>
        <w:t>发送至邮箱：</w:t>
      </w:r>
      <w:hyperlink r:id="rId18" w:history="1">
        <w:r w:rsidRPr="007F524A">
          <w:rPr>
            <w:rFonts w:ascii="微软雅黑" w:eastAsia="微软雅黑" w:hAnsi="微软雅黑"/>
            <w:b/>
            <w:highlight w:val="yellow"/>
          </w:rPr>
          <w:t>walking_sh@sdpcus.com</w:t>
        </w:r>
      </w:hyperlink>
    </w:p>
    <w:p w14:paraId="30B9035F" w14:textId="01100937" w:rsidR="006F6632" w:rsidRPr="0017406A" w:rsidRDefault="006F6632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7月5日前，设计说明会及现场踏勘（邮件</w:t>
      </w:r>
      <w:r w:rsidR="001F6535">
        <w:rPr>
          <w:rFonts w:ascii="微软雅黑" w:eastAsia="微软雅黑" w:hAnsi="微软雅黑"/>
        </w:rPr>
        <w:t>提前</w:t>
      </w:r>
      <w:r w:rsidRPr="0017406A">
        <w:rPr>
          <w:rFonts w:ascii="微软雅黑" w:eastAsia="微软雅黑" w:hAnsi="微软雅黑"/>
        </w:rPr>
        <w:t>通知</w:t>
      </w:r>
      <w:r w:rsidR="001F6535">
        <w:rPr>
          <w:rFonts w:ascii="微软雅黑" w:eastAsia="微软雅黑" w:hAnsi="微软雅黑"/>
        </w:rPr>
        <w:t>具体安排</w:t>
      </w:r>
      <w:r w:rsidRPr="0017406A">
        <w:rPr>
          <w:rFonts w:ascii="微软雅黑" w:eastAsia="微软雅黑" w:hAnsi="微软雅黑"/>
        </w:rPr>
        <w:t>）</w:t>
      </w:r>
    </w:p>
    <w:p w14:paraId="0D39F82F" w14:textId="50002A49" w:rsidR="006F6632" w:rsidRDefault="006F6632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1F6535">
        <w:rPr>
          <w:rFonts w:ascii="微软雅黑" w:eastAsia="微软雅黑" w:hAnsi="微软雅黑"/>
          <w:b/>
        </w:rPr>
        <w:t>提交方案成果截止时间：</w:t>
      </w:r>
      <w:r w:rsidRPr="007F524A">
        <w:rPr>
          <w:rFonts w:ascii="微软雅黑" w:eastAsia="微软雅黑" w:hAnsi="微软雅黑"/>
          <w:b/>
          <w:highlight w:val="yellow"/>
        </w:rPr>
        <w:t>8月5日17:00</w:t>
      </w:r>
      <w:r w:rsidRPr="001F6535">
        <w:rPr>
          <w:rFonts w:ascii="微软雅黑" w:eastAsia="微软雅黑" w:hAnsi="微软雅黑"/>
          <w:b/>
        </w:rPr>
        <w:t xml:space="preserve">   </w:t>
      </w:r>
      <w:r w:rsidR="001F6535" w:rsidRPr="001F6535">
        <w:rPr>
          <w:rFonts w:ascii="微软雅黑" w:eastAsia="微软雅黑" w:hAnsi="微软雅黑"/>
        </w:rPr>
        <w:t>成果发送至邮箱</w:t>
      </w:r>
      <w:r w:rsidR="001F6535">
        <w:rPr>
          <w:rFonts w:ascii="微软雅黑" w:eastAsia="微软雅黑" w:hAnsi="微软雅黑"/>
        </w:rPr>
        <w:t>：</w:t>
      </w:r>
      <w:hyperlink r:id="rId19" w:history="1">
        <w:r w:rsidR="001F6535" w:rsidRPr="007F524A">
          <w:rPr>
            <w:b/>
            <w:highlight w:val="yellow"/>
          </w:rPr>
          <w:t>walking_sh@sdpcus.com</w:t>
        </w:r>
      </w:hyperlink>
    </w:p>
    <w:p w14:paraId="03F2D4C1" w14:textId="77777777" w:rsidR="006F6632" w:rsidRPr="0017406A" w:rsidRDefault="006F6632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8月中旬组织方案专家评审会</w:t>
      </w:r>
    </w:p>
    <w:p w14:paraId="15D8B400" w14:textId="77777777" w:rsidR="006F6632" w:rsidRDefault="006F6632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8月底，完成颁发奖金及奖状</w:t>
      </w:r>
    </w:p>
    <w:p w14:paraId="1C49076E" w14:textId="77777777" w:rsidR="00201F44" w:rsidRPr="0017406A" w:rsidRDefault="00201F4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14:paraId="694D58EF" w14:textId="77777777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*设计师可根据自身情况，选择一个或多个试点报名均可。</w:t>
      </w:r>
    </w:p>
    <w:p w14:paraId="5759A596" w14:textId="39FA2473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*报名后主办方将于</w:t>
      </w:r>
      <w:r w:rsidR="00656ACB">
        <w:rPr>
          <w:rFonts w:ascii="微软雅黑" w:eastAsia="微软雅黑" w:hAnsi="微软雅黑"/>
        </w:rPr>
        <w:t>1-</w:t>
      </w:r>
      <w:r w:rsidRPr="0017406A">
        <w:rPr>
          <w:rFonts w:ascii="微软雅黑" w:eastAsia="微软雅黑" w:hAnsi="微软雅黑"/>
        </w:rPr>
        <w:t>2个工作日内回复邮件确认报名成功</w:t>
      </w:r>
      <w:r w:rsidR="001F6535">
        <w:rPr>
          <w:rFonts w:ascii="微软雅黑" w:eastAsia="微软雅黑" w:hAnsi="微软雅黑"/>
        </w:rPr>
        <w:t>，通知</w:t>
      </w:r>
      <w:r w:rsidR="001F6535" w:rsidRPr="007F524A">
        <w:rPr>
          <w:rFonts w:ascii="微软雅黑" w:eastAsia="微软雅黑" w:hAnsi="微软雅黑"/>
          <w:b/>
          <w:highlight w:val="yellow"/>
        </w:rPr>
        <w:t>报名序号</w:t>
      </w:r>
      <w:r w:rsidRPr="0017406A">
        <w:rPr>
          <w:rFonts w:ascii="微软雅黑" w:eastAsia="微软雅黑" w:hAnsi="微软雅黑"/>
        </w:rPr>
        <w:t>，并在</w:t>
      </w:r>
      <w:r w:rsidR="006F6632" w:rsidRPr="0017406A">
        <w:rPr>
          <w:rFonts w:ascii="微软雅黑" w:eastAsia="微软雅黑" w:hAnsi="微软雅黑"/>
        </w:rPr>
        <w:t>7</w:t>
      </w:r>
      <w:r w:rsidRPr="0017406A">
        <w:rPr>
          <w:rFonts w:ascii="微软雅黑" w:eastAsia="微软雅黑" w:hAnsi="微软雅黑"/>
        </w:rPr>
        <w:t>月</w:t>
      </w:r>
      <w:r w:rsidR="006F6632" w:rsidRPr="0017406A">
        <w:rPr>
          <w:rFonts w:ascii="微软雅黑" w:eastAsia="微软雅黑" w:hAnsi="微软雅黑"/>
        </w:rPr>
        <w:t>5</w:t>
      </w:r>
      <w:r w:rsidRPr="0017406A">
        <w:rPr>
          <w:rFonts w:ascii="微软雅黑" w:eastAsia="微软雅黑" w:hAnsi="微软雅黑"/>
        </w:rPr>
        <w:t>日之前通过邮件向报名者发放设计资料包，通知后续活动，敬请关注。</w:t>
      </w:r>
    </w:p>
    <w:p w14:paraId="25324063" w14:textId="688D4958" w:rsidR="00C402DE" w:rsidRPr="0017406A" w:rsidRDefault="004104C4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*设计资料包内容包括所选试点的设计任务书、基地地形图CAD的EPS文件、地形图保密协议。若您需要CAD文件，请在保密协议签名后扫描成清晰可辨认的照片，将扫描照片发送</w:t>
      </w:r>
      <w:proofErr w:type="gramStart"/>
      <w:r w:rsidRPr="0017406A">
        <w:rPr>
          <w:rFonts w:ascii="微软雅黑" w:eastAsia="微软雅黑" w:hAnsi="微软雅黑"/>
        </w:rPr>
        <w:t>至联系</w:t>
      </w:r>
      <w:proofErr w:type="gramEnd"/>
      <w:r w:rsidRPr="0017406A">
        <w:rPr>
          <w:rFonts w:ascii="微软雅黑" w:eastAsia="微软雅黑" w:hAnsi="微软雅黑"/>
        </w:rPr>
        <w:t>邮箱，主办方可提供CAD文件。</w:t>
      </w:r>
    </w:p>
    <w:p w14:paraId="46F4348B" w14:textId="6B2DB8BF" w:rsidR="007F524A" w:rsidRPr="0017406A" w:rsidRDefault="007F524A" w:rsidP="008648CF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</w:t>
      </w:r>
      <w:r>
        <w:rPr>
          <w:rFonts w:ascii="微软雅黑" w:eastAsia="微软雅黑" w:hAnsi="微软雅黑"/>
        </w:rPr>
        <w:t>方案评审为匿名形式，</w:t>
      </w:r>
      <w:r w:rsidRPr="0017406A">
        <w:rPr>
          <w:rFonts w:ascii="微软雅黑" w:eastAsia="微软雅黑" w:hAnsi="微软雅黑"/>
        </w:rPr>
        <w:t>设计师</w:t>
      </w:r>
      <w:r>
        <w:rPr>
          <w:rFonts w:ascii="微软雅黑" w:eastAsia="微软雅黑" w:hAnsi="微软雅黑"/>
        </w:rPr>
        <w:t>提交</w:t>
      </w:r>
      <w:r w:rsidR="00FE6C98">
        <w:rPr>
          <w:rFonts w:ascii="微软雅黑" w:eastAsia="微软雅黑" w:hAnsi="微软雅黑"/>
        </w:rPr>
        <w:t>的</w:t>
      </w:r>
      <w:r w:rsidR="00FE6C98" w:rsidRPr="00FE6C98">
        <w:rPr>
          <w:rFonts w:ascii="微软雅黑" w:eastAsia="微软雅黑" w:hAnsi="微软雅黑"/>
          <w:b/>
          <w:highlight w:val="yellow"/>
        </w:rPr>
        <w:t>设计</w:t>
      </w:r>
      <w:r w:rsidRPr="00FE6C98">
        <w:rPr>
          <w:rFonts w:ascii="微软雅黑" w:eastAsia="微软雅黑" w:hAnsi="微软雅黑"/>
          <w:b/>
          <w:highlight w:val="yellow"/>
        </w:rPr>
        <w:t>成果中只能标注“报名序号”</w:t>
      </w:r>
      <w:r>
        <w:rPr>
          <w:rFonts w:ascii="微软雅黑" w:eastAsia="微软雅黑" w:hAnsi="微软雅黑"/>
        </w:rPr>
        <w:t>，不允许出现团队、公司或人员信息。</w:t>
      </w:r>
    </w:p>
    <w:p w14:paraId="13DCE817" w14:textId="77777777" w:rsidR="00C402DE" w:rsidRDefault="00C402DE" w:rsidP="008648CF">
      <w:pPr>
        <w:pStyle w:val="Body"/>
        <w:spacing w:line="360" w:lineRule="auto"/>
        <w:jc w:val="both"/>
        <w:rPr>
          <w:rFonts w:hint="default"/>
        </w:rPr>
      </w:pPr>
    </w:p>
    <w:sectPr w:rsidR="00C402DE">
      <w:headerReference w:type="default" r:id="rId20"/>
      <w:footerReference w:type="default" r:id="rId2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AB5B12" w14:textId="77777777" w:rsidR="006119A1" w:rsidRDefault="006119A1">
      <w:r>
        <w:separator/>
      </w:r>
    </w:p>
  </w:endnote>
  <w:endnote w:type="continuationSeparator" w:id="0">
    <w:p w14:paraId="32E6D98F" w14:textId="77777777" w:rsidR="006119A1" w:rsidRDefault="0061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微软雅黑"/>
    <w:charset w:val="00"/>
    <w:family w:val="auto"/>
    <w:pitch w:val="variable"/>
    <w:sig w:usb0="00000003" w:usb1="500079DB" w:usb2="0000001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Medium">
    <w:altName w:val="Arial Unicode MS"/>
    <w:charset w:val="86"/>
    <w:family w:val="swiss"/>
    <w:pitch w:val="variable"/>
    <w:sig w:usb0="00000000" w:usb1="7ACFFDFB" w:usb2="00000017" w:usb3="00000000" w:csb0="00040001" w:csb1="00000000"/>
  </w:font>
  <w:font w:name="PingFang SC Light">
    <w:altName w:val="微软雅黑"/>
    <w:charset w:val="86"/>
    <w:family w:val="swiss"/>
    <w:pitch w:val="variable"/>
    <w:sig w:usb0="00000000" w:usb1="7ACFFDFB" w:usb2="00000017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F6E71" w14:textId="77777777" w:rsidR="00C402DE" w:rsidRDefault="00C402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D0D754" w14:textId="77777777" w:rsidR="006119A1" w:rsidRDefault="006119A1">
      <w:r>
        <w:separator/>
      </w:r>
    </w:p>
  </w:footnote>
  <w:footnote w:type="continuationSeparator" w:id="0">
    <w:p w14:paraId="59EA5756" w14:textId="77777777" w:rsidR="006119A1" w:rsidRDefault="00611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C774C" w14:textId="77777777" w:rsidR="00C402DE" w:rsidRDefault="00C402D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2DE"/>
    <w:rsid w:val="000216C9"/>
    <w:rsid w:val="0017404C"/>
    <w:rsid w:val="0017406A"/>
    <w:rsid w:val="001F6535"/>
    <w:rsid w:val="001F738A"/>
    <w:rsid w:val="00201F44"/>
    <w:rsid w:val="00207DF6"/>
    <w:rsid w:val="002319E3"/>
    <w:rsid w:val="003819AB"/>
    <w:rsid w:val="00400358"/>
    <w:rsid w:val="004104C4"/>
    <w:rsid w:val="00455B73"/>
    <w:rsid w:val="00521734"/>
    <w:rsid w:val="006119A1"/>
    <w:rsid w:val="00656ACB"/>
    <w:rsid w:val="006F6632"/>
    <w:rsid w:val="00715B99"/>
    <w:rsid w:val="007E084D"/>
    <w:rsid w:val="007F524A"/>
    <w:rsid w:val="008648CF"/>
    <w:rsid w:val="0091148F"/>
    <w:rsid w:val="009E33B3"/>
    <w:rsid w:val="00BC7DB7"/>
    <w:rsid w:val="00C402DE"/>
    <w:rsid w:val="00D64611"/>
    <w:rsid w:val="00DA4104"/>
    <w:rsid w:val="00F3687F"/>
    <w:rsid w:val="00FD17F5"/>
    <w:rsid w:val="00FE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E12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paragraph" w:customStyle="1" w:styleId="Default">
    <w:name w:val="Default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character" w:customStyle="1" w:styleId="Hyperlink0">
    <w:name w:val="Hyperlink.0"/>
    <w:basedOn w:val="a3"/>
    <w:rPr>
      <w:u w:val="single"/>
    </w:rPr>
  </w:style>
  <w:style w:type="character" w:styleId="a4">
    <w:name w:val="Strong"/>
    <w:basedOn w:val="a0"/>
    <w:uiPriority w:val="22"/>
    <w:qFormat/>
    <w:rsid w:val="006F6632"/>
    <w:rPr>
      <w:b/>
      <w:bCs/>
    </w:rPr>
  </w:style>
  <w:style w:type="paragraph" w:styleId="a5">
    <w:name w:val="Normal (Web)"/>
    <w:basedOn w:val="a"/>
    <w:uiPriority w:val="99"/>
    <w:semiHidden/>
    <w:unhideWhenUsed/>
    <w:rsid w:val="006F66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a6">
    <w:name w:val="Balloon Text"/>
    <w:basedOn w:val="a"/>
    <w:link w:val="Char"/>
    <w:uiPriority w:val="99"/>
    <w:semiHidden/>
    <w:unhideWhenUsed/>
    <w:rsid w:val="002319E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319E3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paragraph" w:customStyle="1" w:styleId="Default">
    <w:name w:val="Default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character" w:customStyle="1" w:styleId="Hyperlink0">
    <w:name w:val="Hyperlink.0"/>
    <w:basedOn w:val="a3"/>
    <w:rPr>
      <w:u w:val="single"/>
    </w:rPr>
  </w:style>
  <w:style w:type="character" w:styleId="a4">
    <w:name w:val="Strong"/>
    <w:basedOn w:val="a0"/>
    <w:uiPriority w:val="22"/>
    <w:qFormat/>
    <w:rsid w:val="006F6632"/>
    <w:rPr>
      <w:b/>
      <w:bCs/>
    </w:rPr>
  </w:style>
  <w:style w:type="paragraph" w:styleId="a5">
    <w:name w:val="Normal (Web)"/>
    <w:basedOn w:val="a"/>
    <w:uiPriority w:val="99"/>
    <w:semiHidden/>
    <w:unhideWhenUsed/>
    <w:rsid w:val="006F66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a6">
    <w:name w:val="Balloon Text"/>
    <w:basedOn w:val="a"/>
    <w:link w:val="Char"/>
    <w:uiPriority w:val="99"/>
    <w:semiHidden/>
    <w:unhideWhenUsed/>
    <w:rsid w:val="002319E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319E3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walking_sh@sdpcus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walking_sh@sdpc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433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24</cp:revision>
  <dcterms:created xsi:type="dcterms:W3CDTF">2019-04-22T09:49:00Z</dcterms:created>
  <dcterms:modified xsi:type="dcterms:W3CDTF">2019-06-18T07:32:00Z</dcterms:modified>
</cp:coreProperties>
</file>